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B6D" w:rsidRDefault="00223B6D" w:rsidP="00223B6D">
      <w:pPr>
        <w:spacing w:line="276" w:lineRule="auto"/>
        <w:jc w:val="left"/>
        <w:rPr>
          <w:b/>
          <w:sz w:val="36"/>
          <w:lang w:val="en-US"/>
        </w:rPr>
      </w:pPr>
      <w:bookmarkStart w:id="0" w:name="_GoBack"/>
      <w:bookmarkEnd w:id="0"/>
    </w:p>
    <w:p w:rsidR="00DC3280" w:rsidRPr="00DC3280" w:rsidRDefault="00DC3280" w:rsidP="00223B6D">
      <w:pPr>
        <w:spacing w:line="276" w:lineRule="auto"/>
        <w:jc w:val="left"/>
        <w:rPr>
          <w:b/>
          <w:sz w:val="36"/>
          <w:lang w:val="en-US"/>
        </w:rPr>
      </w:pPr>
      <w:r w:rsidRPr="00DC3280">
        <w:rPr>
          <w:b/>
          <w:sz w:val="36"/>
          <w:lang w:val="en-US"/>
        </w:rPr>
        <w:t>The Impact of Contactless Payment on Spending</w:t>
      </w:r>
    </w:p>
    <w:p w:rsidR="00DC3280" w:rsidRPr="00DC3280" w:rsidRDefault="00DC3280" w:rsidP="00223B6D">
      <w:pPr>
        <w:spacing w:line="276" w:lineRule="auto"/>
        <w:jc w:val="center"/>
        <w:rPr>
          <w:lang w:val="en-US"/>
        </w:rPr>
      </w:pPr>
    </w:p>
    <w:p w:rsidR="00DC3280" w:rsidRPr="00DC3280" w:rsidRDefault="00DC3280" w:rsidP="00223B6D">
      <w:pPr>
        <w:spacing w:line="276" w:lineRule="auto"/>
        <w:jc w:val="left"/>
        <w:rPr>
          <w:lang w:val="en-US"/>
        </w:rPr>
      </w:pPr>
      <w:r w:rsidRPr="00223B6D">
        <w:rPr>
          <w:i/>
          <w:sz w:val="28"/>
          <w:szCs w:val="28"/>
          <w:lang w:val="en-US"/>
        </w:rPr>
        <w:t xml:space="preserve">Tobias </w:t>
      </w:r>
      <w:proofErr w:type="spellStart"/>
      <w:r w:rsidRPr="00223B6D">
        <w:rPr>
          <w:i/>
          <w:sz w:val="28"/>
          <w:szCs w:val="28"/>
          <w:lang w:val="en-US"/>
        </w:rPr>
        <w:t>Trütsch</w:t>
      </w:r>
      <w:proofErr w:type="spellEnd"/>
    </w:p>
    <w:p w:rsidR="00223B6D" w:rsidRDefault="00223B6D" w:rsidP="00223B6D">
      <w:pPr>
        <w:spacing w:line="276" w:lineRule="auto"/>
        <w:jc w:val="left"/>
        <w:rPr>
          <w:lang w:val="en-US"/>
        </w:rPr>
      </w:pPr>
    </w:p>
    <w:p w:rsidR="00DC3280" w:rsidRDefault="00223B6D" w:rsidP="00223B6D">
      <w:pPr>
        <w:spacing w:line="276" w:lineRule="auto"/>
        <w:jc w:val="left"/>
        <w:rPr>
          <w:b/>
          <w:lang w:val="en-US"/>
        </w:rPr>
      </w:pPr>
      <w:r w:rsidRPr="00223B6D">
        <w:rPr>
          <w:b/>
          <w:lang w:val="en-US"/>
        </w:rPr>
        <w:t>ABSTRACT</w:t>
      </w:r>
    </w:p>
    <w:p w:rsidR="00223B6D" w:rsidRPr="00223B6D" w:rsidRDefault="00223B6D" w:rsidP="00223B6D">
      <w:pPr>
        <w:spacing w:line="276" w:lineRule="auto"/>
        <w:jc w:val="left"/>
        <w:rPr>
          <w:b/>
          <w:lang w:val="en-US"/>
        </w:rPr>
      </w:pPr>
    </w:p>
    <w:p w:rsidR="00CB437A" w:rsidRPr="00223B6D" w:rsidRDefault="00DC3280" w:rsidP="009F390A">
      <w:pPr>
        <w:spacing w:line="276" w:lineRule="auto"/>
        <w:ind w:right="-1"/>
        <w:rPr>
          <w:lang w:val="en-US"/>
        </w:rPr>
      </w:pPr>
      <w:r w:rsidRPr="00CB437A">
        <w:rPr>
          <w:lang w:val="en-US"/>
        </w:rPr>
        <w:t xml:space="preserve">This paper estimates the effect of contactless payment on the spending ratio in terms of transactions for different transaction types at the point-of-sale. </w:t>
      </w:r>
      <w:r w:rsidRPr="00FF733E">
        <w:rPr>
          <w:lang w:val="en-US"/>
        </w:rPr>
        <w:t>The specific devices that are investigated are debit and credit cards, to which the feature is embedded. Data is drawn from a national representative survey on consumer payment behavior in the US in 2010. Using propensity score matching to control for selection, the estimation shows that the contactless feature yields to a significant increase in the spending ratio at the point-of-sale for both payment methods. The average treatment effect on the treated for credit and debit cards is roughly 8 and 10 percent, respectively. These findings indicate that the private industry can highly benefit from the innovation with respect to new revenue streams. This paper contributes to the existing literature in payment economics by analyzing one of the most recent payment products.</w:t>
      </w:r>
    </w:p>
    <w:p w:rsidR="00CB437A" w:rsidRPr="00223B6D" w:rsidRDefault="00CB437A" w:rsidP="00223B6D">
      <w:pPr>
        <w:spacing w:line="276" w:lineRule="auto"/>
        <w:rPr>
          <w:lang w:val="en-US" w:eastAsia="de-DE"/>
        </w:rPr>
      </w:pPr>
    </w:p>
    <w:p w:rsidR="00CB437A" w:rsidRDefault="00CB437A" w:rsidP="00223B6D">
      <w:pPr>
        <w:spacing w:line="276" w:lineRule="auto"/>
        <w:ind w:left="1134" w:hanging="1134"/>
        <w:rPr>
          <w:lang w:val="en-US" w:eastAsia="de-DE"/>
        </w:rPr>
      </w:pPr>
      <w:r w:rsidRPr="00E95307">
        <w:rPr>
          <w:b/>
          <w:lang w:val="en-US" w:eastAsia="de-DE"/>
        </w:rPr>
        <w:t>Keywords:</w:t>
      </w:r>
      <w:r w:rsidRPr="00CB437A">
        <w:rPr>
          <w:lang w:val="en-US" w:eastAsia="de-DE"/>
        </w:rPr>
        <w:t xml:space="preserve"> contactless payment, payment innovation, spending habits, credit and debit cards, near- field communication (NFC), propensity score matching</w:t>
      </w:r>
    </w:p>
    <w:p w:rsidR="00223B6D" w:rsidRPr="00FE2B43" w:rsidRDefault="00223B6D" w:rsidP="00223B6D">
      <w:pPr>
        <w:spacing w:line="276" w:lineRule="auto"/>
        <w:rPr>
          <w:b/>
          <w:lang w:val="en-US" w:eastAsia="de-DE"/>
        </w:rPr>
      </w:pPr>
    </w:p>
    <w:p w:rsidR="008E3C92" w:rsidRPr="00223B6D" w:rsidRDefault="00223B6D" w:rsidP="00223B6D">
      <w:pPr>
        <w:spacing w:line="276" w:lineRule="auto"/>
        <w:rPr>
          <w:lang w:val="fr-FR" w:eastAsia="de-DE"/>
        </w:rPr>
      </w:pPr>
      <w:r>
        <w:rPr>
          <w:b/>
          <w:lang w:val="fr-CH" w:eastAsia="de-DE"/>
        </w:rPr>
        <w:t>J</w:t>
      </w:r>
      <w:r w:rsidRPr="00E95307">
        <w:rPr>
          <w:b/>
          <w:lang w:val="fr-CH" w:eastAsia="de-DE"/>
        </w:rPr>
        <w:t>EL-Classification:</w:t>
      </w:r>
      <w:r w:rsidRPr="00CB437A">
        <w:rPr>
          <w:lang w:val="fr-CH" w:eastAsia="de-DE"/>
        </w:rPr>
        <w:t xml:space="preserve"> C21, D12, D14, O33</w:t>
      </w:r>
    </w:p>
    <w:p w:rsidR="008E3C92" w:rsidRDefault="008E3C92" w:rsidP="00223B6D">
      <w:pPr>
        <w:spacing w:line="276" w:lineRule="auto"/>
        <w:rPr>
          <w:lang w:val="fr-FR" w:eastAsia="de-DE"/>
        </w:rPr>
      </w:pPr>
    </w:p>
    <w:p w:rsidR="00223B6D" w:rsidRPr="00223B6D" w:rsidRDefault="00223B6D" w:rsidP="00223B6D">
      <w:pPr>
        <w:spacing w:line="276" w:lineRule="auto"/>
        <w:rPr>
          <w:b/>
          <w:lang w:val="fr-FR" w:eastAsia="de-DE"/>
        </w:rPr>
      </w:pPr>
      <w:r w:rsidRPr="00223B6D">
        <w:rPr>
          <w:b/>
          <w:lang w:val="fr-FR" w:eastAsia="de-DE"/>
        </w:rPr>
        <w:t>Author</w:t>
      </w:r>
    </w:p>
    <w:p w:rsidR="00223B6D" w:rsidRPr="00FE2B43" w:rsidRDefault="00223B6D" w:rsidP="00223B6D">
      <w:pPr>
        <w:spacing w:line="276" w:lineRule="auto"/>
        <w:rPr>
          <w:lang w:val="fr-FR" w:eastAsia="de-DE"/>
        </w:rPr>
      </w:pPr>
      <w:r w:rsidRPr="00FE2B43">
        <w:rPr>
          <w:i/>
          <w:lang w:val="fr-FR" w:eastAsia="de-DE"/>
        </w:rPr>
        <w:t>Tobias Trütsch</w:t>
      </w:r>
      <w:r w:rsidRPr="00FE2B43">
        <w:rPr>
          <w:lang w:val="fr-FR" w:eastAsia="de-DE"/>
        </w:rPr>
        <w:t xml:space="preserve"> University of St.Gallen, ES-HSG, Holzstrasse 15, 9010 St.Gallen, Switzerland, </w:t>
      </w:r>
    </w:p>
    <w:p w:rsidR="00E80085" w:rsidRPr="00223B6D" w:rsidRDefault="00223B6D" w:rsidP="00223B6D">
      <w:pPr>
        <w:spacing w:line="276" w:lineRule="auto"/>
        <w:rPr>
          <w:lang w:val="fr-FR" w:eastAsia="de-DE"/>
        </w:rPr>
      </w:pPr>
      <w:r w:rsidRPr="00223B6D">
        <w:rPr>
          <w:lang w:val="fr-CH" w:eastAsia="de-DE"/>
        </w:rPr>
        <w:t>E-mail: tobias.truetsch@unisg.ch, Phone +41 71 224 75 14</w:t>
      </w:r>
    </w:p>
    <w:p w:rsidR="00223B6D" w:rsidRDefault="00223B6D">
      <w:pPr>
        <w:spacing w:line="260" w:lineRule="atLeast"/>
        <w:jc w:val="left"/>
        <w:rPr>
          <w:lang w:val="fr-FR" w:eastAsia="de-DE"/>
        </w:rPr>
      </w:pPr>
      <w:r>
        <w:rPr>
          <w:lang w:val="fr-FR" w:eastAsia="de-DE"/>
        </w:rPr>
        <w:br w:type="page"/>
      </w:r>
    </w:p>
    <w:p w:rsidR="008E3C92" w:rsidRDefault="008E3C92" w:rsidP="00223B6D">
      <w:pPr>
        <w:pStyle w:val="Nadpis1"/>
        <w:spacing w:line="276" w:lineRule="auto"/>
        <w:rPr>
          <w:lang w:val="en-US" w:eastAsia="de-DE"/>
        </w:rPr>
      </w:pPr>
      <w:r>
        <w:rPr>
          <w:lang w:val="en-US" w:eastAsia="de-DE"/>
        </w:rPr>
        <w:lastRenderedPageBreak/>
        <w:t>Introduction</w:t>
      </w:r>
    </w:p>
    <w:p w:rsidR="00DC6F6B" w:rsidRDefault="00DC6F6B" w:rsidP="00223B6D">
      <w:pPr>
        <w:spacing w:line="276" w:lineRule="auto"/>
        <w:rPr>
          <w:lang w:val="en-US" w:eastAsia="de-DE"/>
        </w:rPr>
      </w:pPr>
      <w:r w:rsidRPr="00DC6F6B">
        <w:rPr>
          <w:lang w:val="en-US" w:eastAsia="de-DE"/>
        </w:rPr>
        <w:t>The way consumers make d</w:t>
      </w:r>
      <w:r>
        <w:rPr>
          <w:lang w:val="en-US" w:eastAsia="de-DE"/>
        </w:rPr>
        <w:t>aily payments has changed signifi</w:t>
      </w:r>
      <w:r w:rsidRPr="00DC6F6B">
        <w:rPr>
          <w:lang w:val="en-US" w:eastAsia="de-DE"/>
        </w:rPr>
        <w:t>cantly in recent years due to innovations such as debit, credit and prepaid cards, online banking and mobile payments among others. By 2010, consumers in the US have undertaken within a month on average 50 percent of their transactions by payment cards, 40 percent by paper instruments such as cash and 9.2 percent by electronic and other instruments (Foster et al., 2013). Meanwhile, new forms of retail payment innovations have come up am</w:t>
      </w:r>
      <w:r>
        <w:rPr>
          <w:lang w:val="en-US" w:eastAsia="de-DE"/>
        </w:rPr>
        <w:t>ong which contactless payment.</w:t>
      </w:r>
      <w:r>
        <w:rPr>
          <w:rStyle w:val="Znakapoznpodarou"/>
          <w:lang w:val="en-US" w:eastAsia="de-DE"/>
        </w:rPr>
        <w:footnoteReference w:id="1"/>
      </w:r>
    </w:p>
    <w:p w:rsidR="009345D2" w:rsidRPr="00DC6F6B" w:rsidRDefault="009345D2" w:rsidP="00223B6D">
      <w:pPr>
        <w:spacing w:line="276" w:lineRule="auto"/>
        <w:rPr>
          <w:lang w:val="en-US" w:eastAsia="de-DE"/>
        </w:rPr>
      </w:pPr>
    </w:p>
    <w:p w:rsidR="00DC6F6B" w:rsidRDefault="00DC6F6B" w:rsidP="00223B6D">
      <w:pPr>
        <w:spacing w:line="276" w:lineRule="auto"/>
        <w:rPr>
          <w:lang w:val="en-US" w:eastAsia="de-DE"/>
        </w:rPr>
      </w:pPr>
      <w:r w:rsidRPr="00DC6F6B">
        <w:rPr>
          <w:lang w:val="en-US" w:eastAsia="de-DE"/>
        </w:rPr>
        <w:t>This paper investigates the impact of contactl</w:t>
      </w:r>
      <w:r>
        <w:rPr>
          <w:lang w:val="en-US" w:eastAsia="de-DE"/>
        </w:rPr>
        <w:t>ess payment on individual spend</w:t>
      </w:r>
      <w:r w:rsidRPr="00DC6F6B">
        <w:rPr>
          <w:lang w:val="en-US" w:eastAsia="de-DE"/>
        </w:rPr>
        <w:t xml:space="preserve">ing </w:t>
      </w:r>
      <w:r>
        <w:rPr>
          <w:lang w:val="en-US" w:eastAsia="de-DE"/>
        </w:rPr>
        <w:t>in terms of transactions for diff</w:t>
      </w:r>
      <w:r w:rsidRPr="00DC6F6B">
        <w:rPr>
          <w:lang w:val="en-US" w:eastAsia="de-DE"/>
        </w:rPr>
        <w:t>erent transaction types at the point-of-sale (POS). This new form of payment device has mainl</w:t>
      </w:r>
      <w:r>
        <w:rPr>
          <w:lang w:val="en-US" w:eastAsia="de-DE"/>
        </w:rPr>
        <w:t>y been developed by the pri</w:t>
      </w:r>
      <w:r w:rsidRPr="00DC6F6B">
        <w:rPr>
          <w:lang w:val="en-US" w:eastAsia="de-DE"/>
        </w:rPr>
        <w:t xml:space="preserve">vate industry sector </w:t>
      </w:r>
      <w:r>
        <w:rPr>
          <w:lang w:val="en-US" w:eastAsia="de-DE"/>
        </w:rPr>
        <w:t>for revenue purposes. The specifi</w:t>
      </w:r>
      <w:r w:rsidRPr="00DC6F6B">
        <w:rPr>
          <w:lang w:val="en-US" w:eastAsia="de-DE"/>
        </w:rPr>
        <w:t>c technology is embedded in the most prominent payment cards and mobile phones</w:t>
      </w:r>
      <w:r>
        <w:rPr>
          <w:lang w:val="en-US" w:eastAsia="de-DE"/>
        </w:rPr>
        <w:t>. Its convenience, safety and effi</w:t>
      </w:r>
      <w:r w:rsidRPr="00DC6F6B">
        <w:rPr>
          <w:lang w:val="en-US" w:eastAsia="de-DE"/>
        </w:rPr>
        <w:t xml:space="preserve">ciency, which </w:t>
      </w:r>
      <w:proofErr w:type="gramStart"/>
      <w:r w:rsidRPr="00DC6F6B">
        <w:rPr>
          <w:lang w:val="en-US" w:eastAsia="de-DE"/>
        </w:rPr>
        <w:t>is</w:t>
      </w:r>
      <w:proofErr w:type="gramEnd"/>
      <w:r w:rsidRPr="00DC6F6B">
        <w:rPr>
          <w:lang w:val="en-US" w:eastAsia="de-DE"/>
        </w:rPr>
        <w:t xml:space="preserve"> expected to be perceived as superior to cash, should support the proliferation of electronic payments and substitution away from cash, w</w:t>
      </w:r>
      <w:r>
        <w:rPr>
          <w:lang w:val="en-US" w:eastAsia="de-DE"/>
        </w:rPr>
        <w:t>hich still accounts for a signifi</w:t>
      </w:r>
      <w:r w:rsidRPr="00DC6F6B">
        <w:rPr>
          <w:lang w:val="en-US" w:eastAsia="de-DE"/>
        </w:rPr>
        <w:t>cant share of transactions.</w:t>
      </w:r>
    </w:p>
    <w:p w:rsidR="00DC6F6B" w:rsidRPr="00DC6F6B" w:rsidRDefault="00DC6F6B" w:rsidP="00223B6D">
      <w:pPr>
        <w:spacing w:line="276" w:lineRule="auto"/>
        <w:rPr>
          <w:lang w:val="en-US" w:eastAsia="de-DE"/>
        </w:rPr>
      </w:pPr>
    </w:p>
    <w:p w:rsidR="00DC6F6B" w:rsidRDefault="00DC6F6B" w:rsidP="00223B6D">
      <w:pPr>
        <w:spacing w:line="276" w:lineRule="auto"/>
        <w:rPr>
          <w:lang w:val="en-US" w:eastAsia="de-DE"/>
        </w:rPr>
      </w:pPr>
      <w:r>
        <w:rPr>
          <w:lang w:val="en-US" w:eastAsia="de-DE"/>
        </w:rPr>
        <w:t>Understanding the eff</w:t>
      </w:r>
      <w:r w:rsidRPr="00DC6F6B">
        <w:rPr>
          <w:lang w:val="en-US" w:eastAsia="de-DE"/>
        </w:rPr>
        <w:t>ect of contactless payment on individual spending habits is crucial for three main reasons. First and foremost, there is limited knowledge on the adoption and usage behavior of the contactless payment innovation due to its very recent emergence and establishment. Retailers can use the information for evaluating whether to invest in the most up-to-date payment terminals in order to have full gains of the newest payment technologies because an e</w:t>
      </w:r>
      <w:r>
        <w:rPr>
          <w:lang w:val="en-US" w:eastAsia="de-DE"/>
        </w:rPr>
        <w:t>ffi</w:t>
      </w:r>
      <w:r w:rsidRPr="00DC6F6B">
        <w:rPr>
          <w:lang w:val="en-US" w:eastAsia="de-DE"/>
        </w:rPr>
        <w:t>cient payment process is one of the most crucial conditions to reduce waiting lines at the counter and consequently a decline in sales inferring from negative shopping experiences.</w:t>
      </w:r>
    </w:p>
    <w:p w:rsidR="00DC6F6B" w:rsidRPr="00DC6F6B" w:rsidRDefault="00DC6F6B" w:rsidP="00223B6D">
      <w:pPr>
        <w:spacing w:line="276" w:lineRule="auto"/>
        <w:rPr>
          <w:lang w:val="en-US" w:eastAsia="de-DE"/>
        </w:rPr>
      </w:pPr>
    </w:p>
    <w:p w:rsidR="00DC6F6B" w:rsidRDefault="00DC6F6B" w:rsidP="00223B6D">
      <w:pPr>
        <w:spacing w:line="276" w:lineRule="auto"/>
        <w:rPr>
          <w:lang w:val="en-US" w:eastAsia="de-DE"/>
        </w:rPr>
      </w:pPr>
      <w:r w:rsidRPr="00DC6F6B">
        <w:rPr>
          <w:lang w:val="en-US" w:eastAsia="de-DE"/>
        </w:rPr>
        <w:t xml:space="preserve">Second, the </w:t>
      </w:r>
      <w:r>
        <w:rPr>
          <w:lang w:val="en-US" w:eastAsia="de-DE"/>
        </w:rPr>
        <w:t>fi</w:t>
      </w:r>
      <w:r w:rsidRPr="00DC6F6B">
        <w:rPr>
          <w:lang w:val="en-US" w:eastAsia="de-DE"/>
        </w:rPr>
        <w:t>ndin</w:t>
      </w:r>
      <w:r>
        <w:rPr>
          <w:lang w:val="en-US" w:eastAsia="de-DE"/>
        </w:rPr>
        <w:t>gs provide information on specifi</w:t>
      </w:r>
      <w:r w:rsidRPr="00DC6F6B">
        <w:rPr>
          <w:lang w:val="en-US" w:eastAsia="de-DE"/>
        </w:rPr>
        <w:t xml:space="preserve">c usage and adoption patterns among cashless payment means, which may be relevant for </w:t>
      </w:r>
      <w:r>
        <w:rPr>
          <w:lang w:val="en-US" w:eastAsia="de-DE"/>
        </w:rPr>
        <w:t>fi</w:t>
      </w:r>
      <w:r w:rsidRPr="00DC6F6B">
        <w:rPr>
          <w:lang w:val="en-US" w:eastAsia="de-DE"/>
        </w:rPr>
        <w:t>nancial intermediaries with respect to managerial, promotional and revenue purposes. In gen</w:t>
      </w:r>
      <w:r>
        <w:rPr>
          <w:lang w:val="en-US" w:eastAsia="de-DE"/>
        </w:rPr>
        <w:t>eral, increas</w:t>
      </w:r>
      <w:r w:rsidRPr="00DC6F6B">
        <w:rPr>
          <w:lang w:val="en-US" w:eastAsia="de-DE"/>
        </w:rPr>
        <w:t>ing card transactions that they might process will result in rising revenue streams generated through their fees.</w:t>
      </w:r>
    </w:p>
    <w:p w:rsidR="00DC6F6B" w:rsidRPr="00DC6F6B" w:rsidRDefault="00DC6F6B" w:rsidP="00223B6D">
      <w:pPr>
        <w:spacing w:line="276" w:lineRule="auto"/>
        <w:rPr>
          <w:lang w:val="en-US" w:eastAsia="de-DE"/>
        </w:rPr>
      </w:pPr>
    </w:p>
    <w:p w:rsidR="00DC6F6B" w:rsidRDefault="00DC6F6B" w:rsidP="00223B6D">
      <w:pPr>
        <w:spacing w:line="276" w:lineRule="auto"/>
        <w:rPr>
          <w:lang w:val="en-US" w:eastAsia="de-DE"/>
        </w:rPr>
      </w:pPr>
      <w:r w:rsidRPr="00DC6F6B">
        <w:rPr>
          <w:lang w:val="en-US" w:eastAsia="de-DE"/>
        </w:rPr>
        <w:t>Third, the paper provides information for pol</w:t>
      </w:r>
      <w:r>
        <w:rPr>
          <w:lang w:val="en-US" w:eastAsia="de-DE"/>
        </w:rPr>
        <w:t>icy makers with regards to eval</w:t>
      </w:r>
      <w:r w:rsidRPr="00DC6F6B">
        <w:rPr>
          <w:lang w:val="en-US" w:eastAsia="de-DE"/>
        </w:rPr>
        <w:t>uating and implementing interchange fee regulation for payment cards, which</w:t>
      </w:r>
      <w:r>
        <w:rPr>
          <w:lang w:val="en-US" w:eastAsia="de-DE"/>
        </w:rPr>
        <w:t xml:space="preserve"> </w:t>
      </w:r>
      <w:r w:rsidRPr="00DC6F6B">
        <w:rPr>
          <w:lang w:val="en-US" w:eastAsia="de-DE"/>
        </w:rPr>
        <w:t>is an ongoing issue in several countries (cf. Weiner and Wright, 2005) such as the US (Johnson, 2014), Switzerland (</w:t>
      </w:r>
      <w:proofErr w:type="spellStart"/>
      <w:r w:rsidRPr="00DC6F6B">
        <w:rPr>
          <w:lang w:val="en-US" w:eastAsia="de-DE"/>
        </w:rPr>
        <w:t>Brouzos</w:t>
      </w:r>
      <w:proofErr w:type="spellEnd"/>
      <w:r w:rsidRPr="00DC6F6B">
        <w:rPr>
          <w:lang w:val="en-US" w:eastAsia="de-DE"/>
        </w:rPr>
        <w:t>, 2014) and the European Uni</w:t>
      </w:r>
      <w:r>
        <w:rPr>
          <w:lang w:val="en-US" w:eastAsia="de-DE"/>
        </w:rPr>
        <w:t>on (European Parliament, 2014).</w:t>
      </w:r>
      <w:r>
        <w:rPr>
          <w:rStyle w:val="Znakapoznpodarou"/>
          <w:lang w:val="en-US" w:eastAsia="de-DE"/>
        </w:rPr>
        <w:footnoteReference w:id="2"/>
      </w:r>
      <w:r w:rsidRPr="00DC6F6B">
        <w:rPr>
          <w:lang w:val="en-US" w:eastAsia="de-DE"/>
        </w:rPr>
        <w:t xml:space="preserve"> For instance, more card transactions imply higher costs on shop owners due to the current interchange fee structure, as it is demon-</w:t>
      </w:r>
      <w:proofErr w:type="spellStart"/>
      <w:r w:rsidRPr="00DC6F6B">
        <w:rPr>
          <w:lang w:val="en-US" w:eastAsia="de-DE"/>
        </w:rPr>
        <w:t>strated</w:t>
      </w:r>
      <w:proofErr w:type="spellEnd"/>
      <w:r w:rsidRPr="00DC6F6B">
        <w:rPr>
          <w:lang w:val="en-US" w:eastAsia="de-DE"/>
        </w:rPr>
        <w:t xml:space="preserve"> in </w:t>
      </w:r>
      <w:proofErr w:type="spellStart"/>
      <w:r w:rsidRPr="00DC6F6B">
        <w:rPr>
          <w:lang w:val="en-US" w:eastAsia="de-DE"/>
        </w:rPr>
        <w:t>Wakamori</w:t>
      </w:r>
      <w:proofErr w:type="spellEnd"/>
      <w:r w:rsidRPr="00DC6F6B">
        <w:rPr>
          <w:lang w:val="en-US" w:eastAsia="de-DE"/>
        </w:rPr>
        <w:t xml:space="preserve"> and </w:t>
      </w:r>
      <w:proofErr w:type="spellStart"/>
      <w:r w:rsidRPr="00DC6F6B">
        <w:rPr>
          <w:lang w:val="en-US" w:eastAsia="de-DE"/>
        </w:rPr>
        <w:t>Welte</w:t>
      </w:r>
      <w:proofErr w:type="spellEnd"/>
      <w:r w:rsidRPr="00DC6F6B">
        <w:rPr>
          <w:lang w:val="en-US" w:eastAsia="de-DE"/>
        </w:rPr>
        <w:t xml:space="preserve"> (2012). Additionally, </w:t>
      </w:r>
      <w:proofErr w:type="spellStart"/>
      <w:r w:rsidRPr="00DC6F6B">
        <w:rPr>
          <w:lang w:val="en-US" w:eastAsia="de-DE"/>
        </w:rPr>
        <w:t>Wiechert</w:t>
      </w:r>
      <w:proofErr w:type="spellEnd"/>
      <w:r w:rsidRPr="00DC6F6B">
        <w:rPr>
          <w:lang w:val="en-US" w:eastAsia="de-DE"/>
        </w:rPr>
        <w:t xml:space="preserve"> (2009) concludes for Swiss retailers that contactless payment increases the payment costs for retail shops even more dramatically since it would mean th</w:t>
      </w:r>
      <w:r>
        <w:rPr>
          <w:lang w:val="en-US" w:eastAsia="de-DE"/>
        </w:rPr>
        <w:t>e transfer of low-cost cash pay</w:t>
      </w:r>
      <w:r w:rsidRPr="00DC6F6B">
        <w:rPr>
          <w:lang w:val="en-US" w:eastAsia="de-DE"/>
        </w:rPr>
        <w:t xml:space="preserve">ments to cards implying a higher burden on </w:t>
      </w:r>
      <w:r w:rsidRPr="00DC6F6B">
        <w:rPr>
          <w:lang w:val="en-US" w:eastAsia="de-DE"/>
        </w:rPr>
        <w:lastRenderedPageBreak/>
        <w:t xml:space="preserve">interchange fees. The cost increase is more accentuated </w:t>
      </w:r>
      <w:r>
        <w:rPr>
          <w:lang w:val="en-US" w:eastAsia="de-DE"/>
        </w:rPr>
        <w:t>for micro than macro payments.</w:t>
      </w:r>
      <w:r>
        <w:rPr>
          <w:rStyle w:val="Znakapoznpodarou"/>
          <w:lang w:val="en-US" w:eastAsia="de-DE"/>
        </w:rPr>
        <w:footnoteReference w:id="3"/>
      </w:r>
      <w:r w:rsidRPr="00DC6F6B">
        <w:rPr>
          <w:lang w:val="en-US" w:eastAsia="de-DE"/>
        </w:rPr>
        <w:t xml:space="preserve"> However, the provision of an ef</w:t>
      </w:r>
      <w:r w:rsidR="00171C38">
        <w:rPr>
          <w:lang w:val="en-US" w:eastAsia="de-DE"/>
        </w:rPr>
        <w:t>fi</w:t>
      </w:r>
      <w:r w:rsidRPr="00DC6F6B">
        <w:rPr>
          <w:lang w:val="en-US" w:eastAsia="de-DE"/>
        </w:rPr>
        <w:t xml:space="preserve">cient and cheap payment service is crucial to underpin the sound operation of the economy. This is also highlighted in the new strategic focus for </w:t>
      </w:r>
      <w:r w:rsidR="00171C38">
        <w:rPr>
          <w:lang w:val="en-US" w:eastAsia="de-DE"/>
        </w:rPr>
        <w:t>fi</w:t>
      </w:r>
      <w:r w:rsidRPr="00DC6F6B">
        <w:rPr>
          <w:lang w:val="en-US" w:eastAsia="de-DE"/>
        </w:rPr>
        <w:t>nancial services announced by the president of the Fede</w:t>
      </w:r>
      <w:r w:rsidR="00171C38">
        <w:rPr>
          <w:lang w:val="en-US" w:eastAsia="de-DE"/>
        </w:rPr>
        <w:t>ral Reserve Bank of Cleveland (</w:t>
      </w:r>
      <w:proofErr w:type="spellStart"/>
      <w:r w:rsidR="00171C38">
        <w:rPr>
          <w:lang w:val="en-US" w:eastAsia="de-DE"/>
        </w:rPr>
        <w:t>Pianalto</w:t>
      </w:r>
      <w:proofErr w:type="spellEnd"/>
      <w:r w:rsidR="00171C38">
        <w:rPr>
          <w:lang w:val="en-US" w:eastAsia="de-DE"/>
        </w:rPr>
        <w:t>, 2012), which specifi</w:t>
      </w:r>
      <w:r w:rsidRPr="00DC6F6B">
        <w:rPr>
          <w:lang w:val="en-US" w:eastAsia="de-DE"/>
        </w:rPr>
        <w:t>cally considers payment preferences of end consumers when making future decision</w:t>
      </w:r>
      <w:r w:rsidR="00EC18E3">
        <w:rPr>
          <w:lang w:val="en-US" w:eastAsia="de-DE"/>
        </w:rPr>
        <w:t>s</w:t>
      </w:r>
      <w:r w:rsidRPr="00DC6F6B">
        <w:rPr>
          <w:lang w:val="en-US" w:eastAsia="de-DE"/>
        </w:rPr>
        <w:t xml:space="preserve"> about the payment system. Providing such information in this paper contributes to support the decision-making process.</w:t>
      </w:r>
    </w:p>
    <w:p w:rsidR="00DC6F6B" w:rsidRPr="00DC6F6B" w:rsidRDefault="00DC6F6B" w:rsidP="00223B6D">
      <w:pPr>
        <w:spacing w:line="276" w:lineRule="auto"/>
        <w:rPr>
          <w:lang w:val="en-US" w:eastAsia="de-DE"/>
        </w:rPr>
      </w:pPr>
    </w:p>
    <w:p w:rsidR="00DC6F6B" w:rsidRPr="00DC6F6B" w:rsidRDefault="00DC6F6B" w:rsidP="00223B6D">
      <w:pPr>
        <w:spacing w:line="276" w:lineRule="auto"/>
        <w:rPr>
          <w:lang w:val="en-US" w:eastAsia="de-DE"/>
        </w:rPr>
      </w:pPr>
      <w:r w:rsidRPr="00DC6F6B">
        <w:rPr>
          <w:lang w:val="en-US" w:eastAsia="de-DE"/>
        </w:rPr>
        <w:t xml:space="preserve">This paper can be seen as complementary to the strands of literature in payment economics and makes a contribution in the context of </w:t>
      </w:r>
      <w:r w:rsidR="00EB0306">
        <w:rPr>
          <w:lang w:val="en-US" w:eastAsia="de-DE"/>
        </w:rPr>
        <w:t>fi</w:t>
      </w:r>
      <w:r w:rsidRPr="00DC6F6B">
        <w:rPr>
          <w:lang w:val="en-US" w:eastAsia="de-DE"/>
        </w:rPr>
        <w:t xml:space="preserve">nancial innovation (e.g. Alvarez and Lippi, 2009; </w:t>
      </w:r>
      <w:proofErr w:type="spellStart"/>
      <w:r w:rsidRPr="00DC6F6B">
        <w:rPr>
          <w:lang w:val="en-US" w:eastAsia="de-DE"/>
        </w:rPr>
        <w:t>Amromin</w:t>
      </w:r>
      <w:proofErr w:type="spellEnd"/>
      <w:r w:rsidRPr="00DC6F6B">
        <w:rPr>
          <w:lang w:val="en-US" w:eastAsia="de-DE"/>
        </w:rPr>
        <w:t xml:space="preserve"> and </w:t>
      </w:r>
      <w:proofErr w:type="spellStart"/>
      <w:r w:rsidRPr="00DC6F6B">
        <w:rPr>
          <w:lang w:val="en-US" w:eastAsia="de-DE"/>
        </w:rPr>
        <w:t>Chakravorti</w:t>
      </w:r>
      <w:proofErr w:type="spellEnd"/>
      <w:r w:rsidRPr="00DC6F6B">
        <w:rPr>
          <w:lang w:val="en-US" w:eastAsia="de-DE"/>
        </w:rPr>
        <w:t xml:space="preserve">, 2007; </w:t>
      </w:r>
      <w:proofErr w:type="spellStart"/>
      <w:r w:rsidRPr="00DC6F6B">
        <w:rPr>
          <w:lang w:val="en-US" w:eastAsia="de-DE"/>
        </w:rPr>
        <w:t>Drehmann</w:t>
      </w:r>
      <w:proofErr w:type="spellEnd"/>
      <w:r w:rsidRPr="00DC6F6B">
        <w:rPr>
          <w:lang w:val="en-US" w:eastAsia="de-DE"/>
        </w:rPr>
        <w:t xml:space="preserve"> et al., 2004; Humphrey et al., 2001; von </w:t>
      </w:r>
      <w:proofErr w:type="spellStart"/>
      <w:r w:rsidRPr="00DC6F6B">
        <w:rPr>
          <w:lang w:val="en-US" w:eastAsia="de-DE"/>
        </w:rPr>
        <w:t>Kalckreuth</w:t>
      </w:r>
      <w:proofErr w:type="spellEnd"/>
      <w:r w:rsidRPr="00DC6F6B">
        <w:rPr>
          <w:lang w:val="en-US" w:eastAsia="de-DE"/>
        </w:rPr>
        <w:t xml:space="preserve"> et al., 2009; </w:t>
      </w:r>
      <w:proofErr w:type="spellStart"/>
      <w:r w:rsidRPr="00DC6F6B">
        <w:rPr>
          <w:lang w:val="en-US" w:eastAsia="de-DE"/>
        </w:rPr>
        <w:t>Schuh</w:t>
      </w:r>
      <w:proofErr w:type="spellEnd"/>
      <w:r w:rsidRPr="00DC6F6B">
        <w:rPr>
          <w:lang w:val="en-US" w:eastAsia="de-DE"/>
        </w:rPr>
        <w:t xml:space="preserve"> and </w:t>
      </w:r>
      <w:proofErr w:type="spellStart"/>
      <w:r w:rsidRPr="00DC6F6B">
        <w:rPr>
          <w:lang w:val="en-US" w:eastAsia="de-DE"/>
        </w:rPr>
        <w:t>Stavins</w:t>
      </w:r>
      <w:proofErr w:type="spellEnd"/>
      <w:r w:rsidRPr="00DC6F6B">
        <w:rPr>
          <w:lang w:val="en-US" w:eastAsia="de-DE"/>
        </w:rPr>
        <w:t xml:space="preserve">, 2010) and may be relevant for the literature in the two-sided markets as well (e.g. </w:t>
      </w:r>
      <w:proofErr w:type="spellStart"/>
      <w:r w:rsidRPr="00DC6F6B">
        <w:rPr>
          <w:lang w:val="en-US" w:eastAsia="de-DE"/>
        </w:rPr>
        <w:t>Rysman</w:t>
      </w:r>
      <w:proofErr w:type="spellEnd"/>
      <w:r w:rsidRPr="00DC6F6B">
        <w:rPr>
          <w:lang w:val="en-US" w:eastAsia="de-DE"/>
        </w:rPr>
        <w:t xml:space="preserve">, 2007; </w:t>
      </w:r>
      <w:proofErr w:type="spellStart"/>
      <w:r w:rsidRPr="00DC6F6B">
        <w:rPr>
          <w:lang w:val="en-US" w:eastAsia="de-DE"/>
        </w:rPr>
        <w:t>Rochet</w:t>
      </w:r>
      <w:proofErr w:type="spellEnd"/>
      <w:r w:rsidRPr="00DC6F6B">
        <w:rPr>
          <w:lang w:val="en-US" w:eastAsia="de-DE"/>
        </w:rPr>
        <w:t xml:space="preserve"> and </w:t>
      </w:r>
      <w:proofErr w:type="spellStart"/>
      <w:r w:rsidRPr="00DC6F6B">
        <w:rPr>
          <w:lang w:val="en-US" w:eastAsia="de-DE"/>
        </w:rPr>
        <w:t>Tirole</w:t>
      </w:r>
      <w:proofErr w:type="spellEnd"/>
      <w:r w:rsidRPr="00DC6F6B">
        <w:rPr>
          <w:lang w:val="en-US" w:eastAsia="de-DE"/>
        </w:rPr>
        <w:t xml:space="preserve">, 2002; </w:t>
      </w:r>
      <w:proofErr w:type="spellStart"/>
      <w:r w:rsidRPr="00DC6F6B">
        <w:rPr>
          <w:lang w:val="en-US" w:eastAsia="de-DE"/>
        </w:rPr>
        <w:t>Rochet</w:t>
      </w:r>
      <w:proofErr w:type="spellEnd"/>
      <w:r w:rsidRPr="00DC6F6B">
        <w:rPr>
          <w:lang w:val="en-US" w:eastAsia="de-DE"/>
        </w:rPr>
        <w:t xml:space="preserve"> and Wright, 2010). Although the model in this paper does not account for price sensitivity and the two-sidedness in terms of merchant decisions, the study gives insights in the individual adoption and usage of contactless payment cards under the interchange fee regulation in 2010 from a consumer's poin</w:t>
      </w:r>
      <w:r>
        <w:rPr>
          <w:lang w:val="en-US" w:eastAsia="de-DE"/>
        </w:rPr>
        <w:t>t of view.</w:t>
      </w:r>
      <w:r>
        <w:rPr>
          <w:rStyle w:val="Znakapoznpodarou"/>
          <w:lang w:val="en-US" w:eastAsia="de-DE"/>
        </w:rPr>
        <w:footnoteReference w:id="4"/>
      </w:r>
    </w:p>
    <w:p w:rsidR="00DC6F6B" w:rsidRPr="00DC6F6B" w:rsidRDefault="00DC6F6B" w:rsidP="00223B6D">
      <w:pPr>
        <w:spacing w:line="276" w:lineRule="auto"/>
        <w:rPr>
          <w:lang w:val="en-US" w:eastAsia="de-DE"/>
        </w:rPr>
      </w:pPr>
    </w:p>
    <w:p w:rsidR="00DC6F6B" w:rsidRDefault="00DC6F6B" w:rsidP="00223B6D">
      <w:pPr>
        <w:spacing w:line="276" w:lineRule="auto"/>
        <w:rPr>
          <w:lang w:val="en-US" w:eastAsia="de-DE"/>
        </w:rPr>
      </w:pPr>
      <w:r w:rsidRPr="00DC6F6B">
        <w:rPr>
          <w:lang w:val="en-US" w:eastAsia="de-DE"/>
        </w:rPr>
        <w:t>The topic is al</w:t>
      </w:r>
      <w:r w:rsidR="00EB0306">
        <w:rPr>
          <w:lang w:val="en-US" w:eastAsia="de-DE"/>
        </w:rPr>
        <w:t>so relevant in the context of effi</w:t>
      </w:r>
      <w:r w:rsidRPr="00DC6F6B">
        <w:rPr>
          <w:lang w:val="en-US" w:eastAsia="de-DE"/>
        </w:rPr>
        <w:t xml:space="preserve">cient payment methods. Checkout time is an important determinant for the choice of payment means. This is highlighted in Klee (2006) who </w:t>
      </w:r>
      <w:r w:rsidR="00EB0306">
        <w:rPr>
          <w:lang w:val="en-US" w:eastAsia="de-DE"/>
        </w:rPr>
        <w:t>fi</w:t>
      </w:r>
      <w:r w:rsidRPr="00DC6F6B">
        <w:rPr>
          <w:lang w:val="en-US" w:eastAsia="de-DE"/>
        </w:rPr>
        <w:t>nds evidence that debit cards are preferred over checks to save time. Contactless pay</w:t>
      </w:r>
      <w:r w:rsidR="00EB0306">
        <w:rPr>
          <w:lang w:val="en-US" w:eastAsia="de-DE"/>
        </w:rPr>
        <w:t xml:space="preserve">ment allows </w:t>
      </w:r>
      <w:proofErr w:type="gramStart"/>
      <w:r w:rsidR="00EB0306">
        <w:rPr>
          <w:lang w:val="en-US" w:eastAsia="de-DE"/>
        </w:rPr>
        <w:t>to pay</w:t>
      </w:r>
      <w:proofErr w:type="gramEnd"/>
      <w:r w:rsidR="00EB0306">
        <w:rPr>
          <w:lang w:val="en-US" w:eastAsia="de-DE"/>
        </w:rPr>
        <w:t xml:space="preserve"> effi</w:t>
      </w:r>
      <w:r w:rsidRPr="00DC6F6B">
        <w:rPr>
          <w:lang w:val="en-US" w:eastAsia="de-DE"/>
        </w:rPr>
        <w:t>ciently and may therefore lead</w:t>
      </w:r>
      <w:r>
        <w:rPr>
          <w:lang w:val="en-US" w:eastAsia="de-DE"/>
        </w:rPr>
        <w:t xml:space="preserve"> </w:t>
      </w:r>
      <w:r w:rsidRPr="00DC6F6B">
        <w:rPr>
          <w:lang w:val="en-US" w:eastAsia="de-DE"/>
        </w:rPr>
        <w:t xml:space="preserve">to higher transaction frequency. </w:t>
      </w:r>
      <w:proofErr w:type="spellStart"/>
      <w:r w:rsidRPr="00DC6F6B">
        <w:rPr>
          <w:lang w:val="en-US" w:eastAsia="de-DE"/>
        </w:rPr>
        <w:t>Borzekowski</w:t>
      </w:r>
      <w:proofErr w:type="spellEnd"/>
      <w:r w:rsidRPr="00DC6F6B">
        <w:rPr>
          <w:lang w:val="en-US" w:eastAsia="de-DE"/>
        </w:rPr>
        <w:t xml:space="preserve"> and Kiser (2008) quantify </w:t>
      </w:r>
      <w:r w:rsidR="00EB0306">
        <w:rPr>
          <w:lang w:val="en-US" w:eastAsia="de-DE"/>
        </w:rPr>
        <w:t>the eff</w:t>
      </w:r>
      <w:r w:rsidRPr="00DC6F6B">
        <w:rPr>
          <w:lang w:val="en-US" w:eastAsia="de-DE"/>
        </w:rPr>
        <w:t>ect</w:t>
      </w:r>
      <w:r w:rsidR="00EB0306">
        <w:rPr>
          <w:lang w:val="en-US" w:eastAsia="de-DE"/>
        </w:rPr>
        <w:t xml:space="preserve"> </w:t>
      </w:r>
      <w:r w:rsidRPr="00DC6F6B">
        <w:rPr>
          <w:lang w:val="en-US" w:eastAsia="de-DE"/>
        </w:rPr>
        <w:t>of contactless</w:t>
      </w:r>
      <w:r>
        <w:rPr>
          <w:lang w:val="en-US" w:eastAsia="de-DE"/>
        </w:rPr>
        <w:t xml:space="preserve"> debit cards in the US applying rank-order-logit </w:t>
      </w:r>
      <w:r w:rsidRPr="00DC6F6B">
        <w:rPr>
          <w:lang w:val="en-US" w:eastAsia="de-DE"/>
        </w:rPr>
        <w:t>models and prospect</w:t>
      </w:r>
      <w:r>
        <w:rPr>
          <w:lang w:val="en-US" w:eastAsia="de-DE"/>
        </w:rPr>
        <w:t xml:space="preserve"> </w:t>
      </w:r>
      <w:r w:rsidRPr="00DC6F6B">
        <w:rPr>
          <w:lang w:val="en-US" w:eastAsia="de-DE"/>
        </w:rPr>
        <w:t>an increase in market share of contactless debit cards compared to cash, check and credit cards because merchants can save up to 0.03 USD per transaction by accepting contactless debit cards, which is exclusiv</w:t>
      </w:r>
      <w:r w:rsidR="00646EF2">
        <w:rPr>
          <w:lang w:val="en-US" w:eastAsia="de-DE"/>
        </w:rPr>
        <w:t>ely driven by faster checkout.</w:t>
      </w:r>
      <w:r w:rsidR="00646EF2">
        <w:rPr>
          <w:rStyle w:val="Znakapoznpodarou"/>
          <w:lang w:val="en-US" w:eastAsia="de-DE"/>
        </w:rPr>
        <w:footnoteReference w:id="5"/>
      </w:r>
      <w:r w:rsidRPr="00DC6F6B">
        <w:rPr>
          <w:lang w:val="en-US" w:eastAsia="de-DE"/>
        </w:rPr>
        <w:t xml:space="preserve"> </w:t>
      </w:r>
    </w:p>
    <w:p w:rsidR="00DC6F6B" w:rsidRDefault="00DC6F6B" w:rsidP="00223B6D">
      <w:pPr>
        <w:spacing w:line="276" w:lineRule="auto"/>
        <w:rPr>
          <w:lang w:val="en-US" w:eastAsia="de-DE"/>
        </w:rPr>
      </w:pPr>
    </w:p>
    <w:p w:rsidR="00DC6F6B" w:rsidRDefault="00DC6F6B" w:rsidP="00223B6D">
      <w:pPr>
        <w:spacing w:line="276" w:lineRule="auto"/>
        <w:rPr>
          <w:lang w:val="en-US" w:eastAsia="de-DE"/>
        </w:rPr>
      </w:pPr>
      <w:r w:rsidRPr="00DC6F6B">
        <w:rPr>
          <w:lang w:val="en-US" w:eastAsia="de-DE"/>
        </w:rPr>
        <w:t>There is substantial literature on the relationship between reward programs, interest free periods and use of credit cards, which this paper is related to since time savings at the checkout are associa</w:t>
      </w:r>
      <w:r>
        <w:rPr>
          <w:lang w:val="en-US" w:eastAsia="de-DE"/>
        </w:rPr>
        <w:t xml:space="preserve">ted with pecuniary incentives. </w:t>
      </w:r>
      <w:r w:rsidR="00EB0306">
        <w:rPr>
          <w:lang w:val="en-US" w:eastAsia="de-DE"/>
        </w:rPr>
        <w:t>Partici</w:t>
      </w:r>
      <w:r w:rsidRPr="00DC6F6B">
        <w:rPr>
          <w:lang w:val="en-US" w:eastAsia="de-DE"/>
        </w:rPr>
        <w:t xml:space="preserve">pation in loyalty programs and access to interest free periods tend to increase credit card use at the expense of alternative payment methods such as debit cards and cash (Simon et al., 2009; Agarwal et al., 2010; </w:t>
      </w:r>
      <w:proofErr w:type="spellStart"/>
      <w:r w:rsidRPr="00DC6F6B">
        <w:rPr>
          <w:lang w:val="en-US" w:eastAsia="de-DE"/>
        </w:rPr>
        <w:t>Ching</w:t>
      </w:r>
      <w:proofErr w:type="spellEnd"/>
      <w:r w:rsidRPr="00DC6F6B">
        <w:rPr>
          <w:lang w:val="en-US" w:eastAsia="de-DE"/>
        </w:rPr>
        <w:t xml:space="preserve"> and Hayashi, 2010; </w:t>
      </w:r>
      <w:proofErr w:type="spellStart"/>
      <w:r w:rsidRPr="00DC6F6B">
        <w:rPr>
          <w:lang w:val="en-US" w:eastAsia="de-DE"/>
        </w:rPr>
        <w:t>Carbó-Valverde</w:t>
      </w:r>
      <w:proofErr w:type="spellEnd"/>
      <w:r w:rsidRPr="00DC6F6B">
        <w:rPr>
          <w:lang w:val="en-US" w:eastAsia="de-DE"/>
        </w:rPr>
        <w:t xml:space="preserve"> and Linares-</w:t>
      </w:r>
      <w:proofErr w:type="spellStart"/>
      <w:r w:rsidRPr="00DC6F6B">
        <w:rPr>
          <w:lang w:val="en-US" w:eastAsia="de-DE"/>
        </w:rPr>
        <w:t>Zegarr</w:t>
      </w:r>
      <w:r w:rsidR="00EB0306">
        <w:rPr>
          <w:lang w:val="en-US" w:eastAsia="de-DE"/>
        </w:rPr>
        <w:t>a</w:t>
      </w:r>
      <w:proofErr w:type="spellEnd"/>
      <w:r w:rsidR="00EB0306">
        <w:rPr>
          <w:lang w:val="en-US" w:eastAsia="de-DE"/>
        </w:rPr>
        <w:t xml:space="preserve">, 2009; </w:t>
      </w:r>
      <w:proofErr w:type="spellStart"/>
      <w:r w:rsidR="00EB0306">
        <w:rPr>
          <w:lang w:val="en-US" w:eastAsia="de-DE"/>
        </w:rPr>
        <w:t>Arango</w:t>
      </w:r>
      <w:proofErr w:type="spellEnd"/>
      <w:r w:rsidR="00EB0306">
        <w:rPr>
          <w:lang w:val="en-US" w:eastAsia="de-DE"/>
        </w:rPr>
        <w:t xml:space="preserve"> et al., 2011).</w:t>
      </w:r>
      <w:r w:rsidRPr="00DC6F6B">
        <w:rPr>
          <w:lang w:val="en-US" w:eastAsia="de-DE"/>
        </w:rPr>
        <w:t xml:space="preserve"> There are also some consumer-side studies conducted by the private industry sector. For example, </w:t>
      </w:r>
      <w:proofErr w:type="spellStart"/>
      <w:r w:rsidRPr="00DC6F6B">
        <w:rPr>
          <w:lang w:val="en-US" w:eastAsia="de-DE"/>
        </w:rPr>
        <w:t>Mastercard</w:t>
      </w:r>
      <w:proofErr w:type="spellEnd"/>
      <w:r w:rsidRPr="00DC6F6B">
        <w:rPr>
          <w:lang w:val="en-US" w:eastAsia="de-DE"/>
        </w:rPr>
        <w:t xml:space="preserve"> (2013) observes a</w:t>
      </w:r>
      <w:r w:rsidR="003304E5">
        <w:rPr>
          <w:lang w:val="en-US" w:eastAsia="de-DE"/>
        </w:rPr>
        <w:t xml:space="preserve">n increased usage of </w:t>
      </w:r>
      <w:proofErr w:type="spellStart"/>
      <w:r w:rsidR="003304E5">
        <w:rPr>
          <w:lang w:val="en-US" w:eastAsia="de-DE"/>
        </w:rPr>
        <w:t>Mastercard-PayPass</w:t>
      </w:r>
      <w:proofErr w:type="spellEnd"/>
      <w:r w:rsidR="003304E5">
        <w:rPr>
          <w:lang w:val="en-US" w:eastAsia="de-DE"/>
        </w:rPr>
        <w:t xml:space="preserve"> </w:t>
      </w:r>
      <w:r w:rsidRPr="00DC6F6B">
        <w:rPr>
          <w:lang w:val="en-US" w:eastAsia="de-DE"/>
        </w:rPr>
        <w:t>payment cards both in terms of value spend</w:t>
      </w:r>
      <w:r w:rsidR="00646EF2">
        <w:rPr>
          <w:lang w:val="en-US" w:eastAsia="de-DE"/>
        </w:rPr>
        <w:t>ing and transaction frequency.</w:t>
      </w:r>
      <w:r w:rsidR="00646EF2">
        <w:rPr>
          <w:rStyle w:val="Znakapoznpodarou"/>
          <w:lang w:val="en-US" w:eastAsia="de-DE"/>
        </w:rPr>
        <w:footnoteReference w:id="6"/>
      </w:r>
      <w:r w:rsidRPr="00DC6F6B">
        <w:rPr>
          <w:lang w:val="en-US" w:eastAsia="de-DE"/>
        </w:rPr>
        <w:t xml:space="preserve"> This research, however, tend to be biased because it might se</w:t>
      </w:r>
      <w:r w:rsidR="00EB0306">
        <w:rPr>
          <w:lang w:val="en-US" w:eastAsia="de-DE"/>
        </w:rPr>
        <w:t>rve as a sales argument for mer</w:t>
      </w:r>
      <w:r w:rsidRPr="00DC6F6B">
        <w:rPr>
          <w:lang w:val="en-US" w:eastAsia="de-DE"/>
        </w:rPr>
        <w:t xml:space="preserve">chants and the data is restricted to </w:t>
      </w:r>
      <w:proofErr w:type="spellStart"/>
      <w:r w:rsidRPr="00DC6F6B">
        <w:rPr>
          <w:lang w:val="en-US" w:eastAsia="de-DE"/>
        </w:rPr>
        <w:t>Mastercard</w:t>
      </w:r>
      <w:proofErr w:type="spellEnd"/>
      <w:r w:rsidRPr="00DC6F6B">
        <w:rPr>
          <w:lang w:val="en-US" w:eastAsia="de-DE"/>
        </w:rPr>
        <w:t xml:space="preserve"> customers only. This paper aims to provide more objective research to gain insights in individual payment habits</w:t>
      </w:r>
      <w:r>
        <w:rPr>
          <w:lang w:val="en-US" w:eastAsia="de-DE"/>
        </w:rPr>
        <w:t xml:space="preserve"> </w:t>
      </w:r>
      <w:r w:rsidRPr="00DC6F6B">
        <w:rPr>
          <w:lang w:val="en-US" w:eastAsia="de-DE"/>
        </w:rPr>
        <w:t>in the context of retail payment innovations.</w:t>
      </w:r>
    </w:p>
    <w:p w:rsidR="00DC6F6B" w:rsidRPr="00DC6F6B" w:rsidRDefault="00DC6F6B" w:rsidP="00223B6D">
      <w:pPr>
        <w:spacing w:line="276" w:lineRule="auto"/>
        <w:rPr>
          <w:lang w:val="en-US" w:eastAsia="de-DE"/>
        </w:rPr>
      </w:pPr>
    </w:p>
    <w:p w:rsidR="00DC6F6B" w:rsidRPr="00DC6F6B" w:rsidRDefault="00DC6F6B" w:rsidP="00223B6D">
      <w:pPr>
        <w:spacing w:line="276" w:lineRule="auto"/>
        <w:rPr>
          <w:lang w:val="en-US" w:eastAsia="de-DE"/>
        </w:rPr>
      </w:pPr>
      <w:r w:rsidRPr="00DC6F6B">
        <w:rPr>
          <w:lang w:val="en-US" w:eastAsia="de-DE"/>
        </w:rPr>
        <w:t xml:space="preserve">The novelty of this study is twofold. On the one hand, due to the very recent emergence of contactless payment, it </w:t>
      </w:r>
      <w:proofErr w:type="gramStart"/>
      <w:r w:rsidRPr="00DC6F6B">
        <w:rPr>
          <w:lang w:val="en-US" w:eastAsia="de-DE"/>
        </w:rPr>
        <w:t>exists</w:t>
      </w:r>
      <w:proofErr w:type="gramEnd"/>
      <w:r w:rsidRPr="00DC6F6B">
        <w:rPr>
          <w:lang w:val="en-US" w:eastAsia="de-DE"/>
        </w:rPr>
        <w:t xml:space="preserve"> only</w:t>
      </w:r>
      <w:r w:rsidR="00EB0306">
        <w:rPr>
          <w:lang w:val="en-US" w:eastAsia="de-DE"/>
        </w:rPr>
        <w:t xml:space="preserve"> limited knowledge of its eff</w:t>
      </w:r>
      <w:r w:rsidRPr="00DC6F6B">
        <w:rPr>
          <w:lang w:val="en-US" w:eastAsia="de-DE"/>
        </w:rPr>
        <w:t xml:space="preserve">ect on individual payment habits. </w:t>
      </w:r>
      <w:r w:rsidRPr="00DC6F6B">
        <w:rPr>
          <w:lang w:val="en-US" w:eastAsia="de-DE"/>
        </w:rPr>
        <w:lastRenderedPageBreak/>
        <w:t xml:space="preserve">This paper </w:t>
      </w:r>
      <w:r w:rsidR="00EB0306">
        <w:rPr>
          <w:lang w:val="en-US" w:eastAsia="de-DE"/>
        </w:rPr>
        <w:t>fi</w:t>
      </w:r>
      <w:r w:rsidRPr="00DC6F6B">
        <w:rPr>
          <w:lang w:val="en-US" w:eastAsia="de-DE"/>
        </w:rPr>
        <w:t xml:space="preserve">lls the gap in this relatively new </w:t>
      </w:r>
      <w:r w:rsidR="00EB0306">
        <w:rPr>
          <w:lang w:val="en-US" w:eastAsia="de-DE"/>
        </w:rPr>
        <w:t>fi</w:t>
      </w:r>
      <w:r w:rsidRPr="00DC6F6B">
        <w:rPr>
          <w:lang w:val="en-US" w:eastAsia="de-DE"/>
        </w:rPr>
        <w:t>eld. On the other hand, using unique, detailed and representative individual survey data from the US dated 2010 all</w:t>
      </w:r>
      <w:r w:rsidR="00EB0306">
        <w:rPr>
          <w:lang w:val="en-US" w:eastAsia="de-DE"/>
        </w:rPr>
        <w:t>ows to investigate the causal eff</w:t>
      </w:r>
      <w:r w:rsidRPr="00DC6F6B">
        <w:rPr>
          <w:lang w:val="en-US" w:eastAsia="de-DE"/>
        </w:rPr>
        <w:t>ect of contactless payment on spending of the most prominent payment cards (credit and debit cards) for di</w:t>
      </w:r>
      <w:r w:rsidR="00EB0306">
        <w:rPr>
          <w:lang w:val="en-US" w:eastAsia="de-DE"/>
        </w:rPr>
        <w:t>ff</w:t>
      </w:r>
      <w:r w:rsidRPr="00DC6F6B">
        <w:rPr>
          <w:lang w:val="en-US" w:eastAsia="de-DE"/>
        </w:rPr>
        <w:t xml:space="preserve">erent transaction types (POS payments distinguished by retail and services payments) by applying propensity score matching to control for selection bias, which is inherent in this setting. Since the data set encompasses the rating of perceived characteristics such as ease of use, security, speed, setup costs of numerous payment instruments, I also can control for unobserved heterogeneity (cf. </w:t>
      </w:r>
      <w:proofErr w:type="spellStart"/>
      <w:r w:rsidRPr="00DC6F6B">
        <w:rPr>
          <w:lang w:val="en-US" w:eastAsia="de-DE"/>
        </w:rPr>
        <w:t>Jonker</w:t>
      </w:r>
      <w:proofErr w:type="spellEnd"/>
      <w:r w:rsidRPr="00DC6F6B">
        <w:rPr>
          <w:lang w:val="en-US" w:eastAsia="de-DE"/>
        </w:rPr>
        <w:t xml:space="preserve">, 2007; Kim et al., 2006; </w:t>
      </w:r>
      <w:proofErr w:type="spellStart"/>
      <w:r w:rsidRPr="00DC6F6B">
        <w:rPr>
          <w:lang w:val="en-US" w:eastAsia="de-DE"/>
        </w:rPr>
        <w:t>Ching</w:t>
      </w:r>
      <w:proofErr w:type="spellEnd"/>
      <w:r w:rsidRPr="00DC6F6B">
        <w:rPr>
          <w:lang w:val="en-US" w:eastAsia="de-DE"/>
        </w:rPr>
        <w:t xml:space="preserve"> and Hayashi, 2010).</w:t>
      </w:r>
    </w:p>
    <w:p w:rsidR="00DC6F6B" w:rsidRPr="00DC6F6B" w:rsidRDefault="00DC6F6B" w:rsidP="00223B6D">
      <w:pPr>
        <w:spacing w:line="276" w:lineRule="auto"/>
        <w:rPr>
          <w:lang w:val="en-US" w:eastAsia="de-DE"/>
        </w:rPr>
      </w:pPr>
    </w:p>
    <w:p w:rsidR="00DC6F6B" w:rsidRPr="00DC6F6B" w:rsidRDefault="00DC6F6B" w:rsidP="00223B6D">
      <w:pPr>
        <w:spacing w:line="276" w:lineRule="auto"/>
        <w:rPr>
          <w:lang w:val="en-US" w:eastAsia="de-DE"/>
        </w:rPr>
      </w:pPr>
      <w:r w:rsidRPr="00DC6F6B">
        <w:rPr>
          <w:lang w:val="en-US" w:eastAsia="de-DE"/>
        </w:rPr>
        <w:t>My empirical analysis yields the following important results. Using the 2010 Survey of Consumer Payment Choice (SCPC) I estimate the impact of contactless</w:t>
      </w:r>
      <w:r>
        <w:rPr>
          <w:lang w:val="en-US" w:eastAsia="de-DE"/>
        </w:rPr>
        <w:t xml:space="preserve"> </w:t>
      </w:r>
      <w:r w:rsidRPr="00DC6F6B">
        <w:rPr>
          <w:lang w:val="en-US" w:eastAsia="de-DE"/>
        </w:rPr>
        <w:t xml:space="preserve">payment on the spending ratio at the individual level. First, I </w:t>
      </w:r>
      <w:r w:rsidR="00EB0306">
        <w:rPr>
          <w:lang w:val="en-US" w:eastAsia="de-DE"/>
        </w:rPr>
        <w:t>find that the average treatment eff</w:t>
      </w:r>
      <w:r w:rsidRPr="00DC6F6B">
        <w:rPr>
          <w:lang w:val="en-US" w:eastAsia="de-DE"/>
        </w:rPr>
        <w:t>ect on the treated of contactless credit cards leads to an increase in the spending ratio of 8.3</w:t>
      </w:r>
      <w:r w:rsidR="00EB0306">
        <w:rPr>
          <w:lang w:val="en-US" w:eastAsia="de-DE"/>
        </w:rPr>
        <w:t xml:space="preserve"> percent at the POS while the eff</w:t>
      </w:r>
      <w:r w:rsidRPr="00DC6F6B">
        <w:rPr>
          <w:lang w:val="en-US" w:eastAsia="de-DE"/>
        </w:rPr>
        <w:t xml:space="preserve">ect for retail and services purchases is 4.8 and 3.5 percent, respectively. </w:t>
      </w:r>
      <w:r w:rsidR="00EB0306">
        <w:rPr>
          <w:lang w:val="en-US" w:eastAsia="de-DE"/>
        </w:rPr>
        <w:t>Second, the average treatment eff</w:t>
      </w:r>
      <w:r w:rsidRPr="00DC6F6B">
        <w:rPr>
          <w:lang w:val="en-US" w:eastAsia="de-DE"/>
        </w:rPr>
        <w:t xml:space="preserve">ect on the treated of contactless </w:t>
      </w:r>
      <w:r w:rsidR="00EB0306">
        <w:rPr>
          <w:lang w:val="en-US" w:eastAsia="de-DE"/>
        </w:rPr>
        <w:t>debit cards exerts a positive eff</w:t>
      </w:r>
      <w:r w:rsidRPr="00DC6F6B">
        <w:rPr>
          <w:lang w:val="en-US" w:eastAsia="de-DE"/>
        </w:rPr>
        <w:t>ect on the spending ratio of 10 percent at the POS. In terms of retail and services payments the impact results in 4.5 percent. Sensitivity analysis shows that the results are robust to unobserved heterogeneity.</w:t>
      </w:r>
    </w:p>
    <w:p w:rsidR="00DC6F6B" w:rsidRPr="00DC6F6B" w:rsidRDefault="00DC6F6B" w:rsidP="00223B6D">
      <w:pPr>
        <w:spacing w:line="276" w:lineRule="auto"/>
        <w:rPr>
          <w:lang w:val="en-US" w:eastAsia="de-DE"/>
        </w:rPr>
      </w:pPr>
    </w:p>
    <w:p w:rsidR="008E3C92" w:rsidRDefault="00DC6F6B" w:rsidP="00223B6D">
      <w:pPr>
        <w:spacing w:line="276" w:lineRule="auto"/>
        <w:rPr>
          <w:lang w:val="en-US" w:eastAsia="de-DE"/>
        </w:rPr>
      </w:pPr>
      <w:r w:rsidRPr="00DC6F6B">
        <w:rPr>
          <w:lang w:val="en-US" w:eastAsia="de-DE"/>
        </w:rPr>
        <w:t>The structure of the paper is as follows. Section 2 derives the theoretical fra</w:t>
      </w:r>
      <w:r w:rsidR="003304E5">
        <w:rPr>
          <w:lang w:val="en-US" w:eastAsia="de-DE"/>
        </w:rPr>
        <w:t>me</w:t>
      </w:r>
      <w:r w:rsidRPr="00DC6F6B">
        <w:rPr>
          <w:lang w:val="en-US" w:eastAsia="de-DE"/>
        </w:rPr>
        <w:t>work and section 3 describes the data. In section 4, I elaborate my estimation strategy and present the econometric model. Section 5 includes the results of the empirical analysis and section 6 concludes.</w:t>
      </w:r>
    </w:p>
    <w:p w:rsidR="00512F1A" w:rsidRDefault="00512F1A" w:rsidP="00223B6D">
      <w:pPr>
        <w:spacing w:line="276" w:lineRule="auto"/>
        <w:rPr>
          <w:lang w:val="en-US" w:eastAsia="de-DE"/>
        </w:rPr>
      </w:pPr>
    </w:p>
    <w:p w:rsidR="00512F1A" w:rsidRDefault="00512F1A" w:rsidP="00223B6D">
      <w:pPr>
        <w:pStyle w:val="Nadpis1"/>
        <w:spacing w:line="276" w:lineRule="auto"/>
        <w:rPr>
          <w:lang w:val="en-US" w:eastAsia="de-DE"/>
        </w:rPr>
      </w:pPr>
      <w:r w:rsidRPr="00512F1A">
        <w:rPr>
          <w:lang w:val="en-US" w:eastAsia="de-DE"/>
        </w:rPr>
        <w:t>Theoretical Considerations</w:t>
      </w:r>
    </w:p>
    <w:p w:rsidR="00512F1A" w:rsidRPr="00512F1A" w:rsidRDefault="00512F1A" w:rsidP="00223B6D">
      <w:pPr>
        <w:spacing w:line="276" w:lineRule="auto"/>
        <w:rPr>
          <w:lang w:val="en-US" w:eastAsia="de-DE"/>
        </w:rPr>
      </w:pPr>
      <w:r w:rsidRPr="00512F1A">
        <w:rPr>
          <w:lang w:val="en-US" w:eastAsia="de-DE"/>
        </w:rPr>
        <w:t>The theoretical background for this study is drawn from technology acceptance models, which aim at explaining the adoption and usage conditions of innovations. There are numerous models that explain tech</w:t>
      </w:r>
      <w:r w:rsidR="00EB0306">
        <w:rPr>
          <w:lang w:val="en-US" w:eastAsia="de-DE"/>
        </w:rPr>
        <w:t>nology adoption and use from differ</w:t>
      </w:r>
      <w:r w:rsidRPr="00512F1A">
        <w:rPr>
          <w:lang w:val="en-US" w:eastAsia="de-DE"/>
        </w:rPr>
        <w:t>ent points of view, from which I choose the most tailored to the research question.</w:t>
      </w:r>
    </w:p>
    <w:p w:rsidR="00512F1A" w:rsidRPr="00512F1A" w:rsidRDefault="00512F1A" w:rsidP="00223B6D">
      <w:pPr>
        <w:spacing w:line="276" w:lineRule="auto"/>
        <w:rPr>
          <w:lang w:val="en-US" w:eastAsia="de-DE"/>
        </w:rPr>
      </w:pPr>
    </w:p>
    <w:p w:rsidR="00512F1A" w:rsidRPr="00512F1A" w:rsidRDefault="00512F1A" w:rsidP="00223B6D">
      <w:pPr>
        <w:spacing w:line="276" w:lineRule="auto"/>
        <w:rPr>
          <w:lang w:val="en-US" w:eastAsia="de-DE"/>
        </w:rPr>
      </w:pPr>
      <w:r w:rsidRPr="00EB0306">
        <w:rPr>
          <w:b/>
          <w:lang w:val="en-US" w:eastAsia="de-DE"/>
        </w:rPr>
        <w:t>Technology Acceptance Model (TAM).</w:t>
      </w:r>
      <w:r w:rsidRPr="00512F1A">
        <w:rPr>
          <w:lang w:val="en-US" w:eastAsia="de-DE"/>
        </w:rPr>
        <w:t xml:space="preserve"> This model explains when individuals will accept and make use of a technology and has</w:t>
      </w:r>
      <w:r w:rsidR="00EB0306">
        <w:rPr>
          <w:lang w:val="en-US" w:eastAsia="de-DE"/>
        </w:rPr>
        <w:t xml:space="preserve"> originally been applied to pre</w:t>
      </w:r>
      <w:r w:rsidRPr="00512F1A">
        <w:rPr>
          <w:lang w:val="en-US" w:eastAsia="de-DE"/>
        </w:rPr>
        <w:t>dict end-user acceptance of information systems within organizations. The model consists of two main technology acceptance measures: Perceived Usefulness and Perceived Ease of Use. Davis (1</w:t>
      </w:r>
      <w:r w:rsidR="00EB0306">
        <w:rPr>
          <w:lang w:val="en-US" w:eastAsia="de-DE"/>
        </w:rPr>
        <w:t>989, p. 320) defi</w:t>
      </w:r>
      <w:r w:rsidRPr="00512F1A">
        <w:rPr>
          <w:lang w:val="en-US" w:eastAsia="de-DE"/>
        </w:rPr>
        <w:t xml:space="preserve">nes the former as </w:t>
      </w:r>
      <w:r w:rsidR="003304E5">
        <w:rPr>
          <w:lang w:val="en-US" w:eastAsia="de-DE"/>
        </w:rPr>
        <w:t>“</w:t>
      </w:r>
      <w:r w:rsidRPr="00512F1A">
        <w:rPr>
          <w:lang w:val="en-US" w:eastAsia="de-DE"/>
        </w:rPr>
        <w:t>the degree to which a person believes that using a particular system would enhance his or h</w:t>
      </w:r>
      <w:r w:rsidR="00EB0306">
        <w:rPr>
          <w:lang w:val="en-US" w:eastAsia="de-DE"/>
        </w:rPr>
        <w:t>er job performance</w:t>
      </w:r>
      <w:r w:rsidR="003304E5">
        <w:rPr>
          <w:lang w:val="en-US" w:eastAsia="de-DE"/>
        </w:rPr>
        <w:t>”</w:t>
      </w:r>
      <w:r w:rsidR="00EB0306">
        <w:rPr>
          <w:lang w:val="en-US" w:eastAsia="de-DE"/>
        </w:rPr>
        <w:t>. Enhanced effi</w:t>
      </w:r>
      <w:r w:rsidRPr="00512F1A">
        <w:rPr>
          <w:lang w:val="en-US" w:eastAsia="de-DE"/>
        </w:rPr>
        <w:t xml:space="preserve">ciency, time savings and convenience are subjects to Perceived Usefulness, which are pertaining to </w:t>
      </w:r>
      <w:r w:rsidR="00EB0306">
        <w:rPr>
          <w:lang w:val="en-US" w:eastAsia="de-DE"/>
        </w:rPr>
        <w:t>contactless payment (</w:t>
      </w:r>
      <w:r w:rsidRPr="00512F1A">
        <w:rPr>
          <w:lang w:val="en-US" w:eastAsia="de-DE"/>
        </w:rPr>
        <w:t>Wang, 2008), and therefore should foster its deployment.</w:t>
      </w:r>
      <w:r w:rsidR="00EB0306">
        <w:rPr>
          <w:lang w:val="en-US" w:eastAsia="de-DE"/>
        </w:rPr>
        <w:t xml:space="preserve"> Perceived Ease of Use is specifi</w:t>
      </w:r>
      <w:r w:rsidRPr="00512F1A">
        <w:rPr>
          <w:lang w:val="en-US" w:eastAsia="de-DE"/>
        </w:rPr>
        <w:t xml:space="preserve">ed as </w:t>
      </w:r>
      <w:r w:rsidR="003304E5">
        <w:rPr>
          <w:lang w:val="en-US" w:eastAsia="de-DE"/>
        </w:rPr>
        <w:t>“</w:t>
      </w:r>
      <w:r w:rsidRPr="00512F1A">
        <w:rPr>
          <w:lang w:val="en-US" w:eastAsia="de-DE"/>
        </w:rPr>
        <w:t>the degree to which a person believes that using a particular system would be free from e</w:t>
      </w:r>
      <w:r w:rsidR="00EB0306">
        <w:rPr>
          <w:lang w:val="en-US" w:eastAsia="de-DE"/>
        </w:rPr>
        <w:t>ffort</w:t>
      </w:r>
      <w:r w:rsidR="003304E5">
        <w:rPr>
          <w:lang w:val="en-US" w:eastAsia="de-DE"/>
        </w:rPr>
        <w:t>”</w:t>
      </w:r>
      <w:r w:rsidRPr="00512F1A">
        <w:rPr>
          <w:lang w:val="en-US" w:eastAsia="de-DE"/>
        </w:rPr>
        <w:t xml:space="preserve"> (Davis, 1989, p. 320). Accordingly, contactless payment is more likely to be used if it is easy to handle.</w:t>
      </w:r>
    </w:p>
    <w:p w:rsidR="00512F1A" w:rsidRPr="00512F1A" w:rsidRDefault="00512F1A" w:rsidP="00223B6D">
      <w:pPr>
        <w:spacing w:line="276" w:lineRule="auto"/>
        <w:rPr>
          <w:lang w:val="en-US" w:eastAsia="de-DE"/>
        </w:rPr>
      </w:pPr>
    </w:p>
    <w:p w:rsidR="00512F1A" w:rsidRPr="00512F1A" w:rsidRDefault="00EB0306" w:rsidP="00223B6D">
      <w:pPr>
        <w:spacing w:line="276" w:lineRule="auto"/>
        <w:rPr>
          <w:lang w:val="en-US" w:eastAsia="de-DE"/>
        </w:rPr>
      </w:pPr>
      <w:proofErr w:type="gramStart"/>
      <w:r w:rsidRPr="00EB0306">
        <w:rPr>
          <w:b/>
          <w:lang w:val="en-US" w:eastAsia="de-DE"/>
        </w:rPr>
        <w:t>Innovation Diff</w:t>
      </w:r>
      <w:r w:rsidR="00512F1A" w:rsidRPr="00EB0306">
        <w:rPr>
          <w:b/>
          <w:lang w:val="en-US" w:eastAsia="de-DE"/>
        </w:rPr>
        <w:t>usion Theory (IDT).</w:t>
      </w:r>
      <w:proofErr w:type="gramEnd"/>
      <w:r w:rsidR="00512F1A" w:rsidRPr="00512F1A">
        <w:rPr>
          <w:lang w:val="en-US" w:eastAsia="de-DE"/>
        </w:rPr>
        <w:t xml:space="preserve"> The theory, developed by Rogers (2003), explains how and why innovations spread through societies. It basically consists of two interrelated processes, namely</w:t>
      </w:r>
      <w:r>
        <w:rPr>
          <w:lang w:val="en-US" w:eastAsia="de-DE"/>
        </w:rPr>
        <w:t xml:space="preserve"> the diff</w:t>
      </w:r>
      <w:r w:rsidR="00512F1A" w:rsidRPr="00512F1A">
        <w:rPr>
          <w:lang w:val="en-US" w:eastAsia="de-DE"/>
        </w:rPr>
        <w:t>usion and adoption process. The former can be described as a macro process that explains how innovations spread through</w:t>
      </w:r>
      <w:r w:rsidR="00512F1A">
        <w:rPr>
          <w:lang w:val="en-US" w:eastAsia="de-DE"/>
        </w:rPr>
        <w:t xml:space="preserve"> </w:t>
      </w:r>
      <w:r w:rsidR="00512F1A" w:rsidRPr="00512F1A">
        <w:rPr>
          <w:lang w:val="en-US" w:eastAsia="de-DE"/>
        </w:rPr>
        <w:t>societies whereas the latter is a micro process focusing on the individual's decision making process of adopting innovations.</w:t>
      </w:r>
    </w:p>
    <w:p w:rsidR="00512F1A" w:rsidRPr="00512F1A" w:rsidRDefault="00512F1A"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lastRenderedPageBreak/>
        <w:t xml:space="preserve">The innovation-decision process consists of </w:t>
      </w:r>
      <w:r w:rsidR="00EB0306">
        <w:rPr>
          <w:lang w:val="en-US" w:eastAsia="de-DE"/>
        </w:rPr>
        <w:t>fi</w:t>
      </w:r>
      <w:r w:rsidRPr="00512F1A">
        <w:rPr>
          <w:lang w:val="en-US" w:eastAsia="de-DE"/>
        </w:rPr>
        <w:t>v</w:t>
      </w:r>
      <w:r w:rsidR="00EB0306">
        <w:rPr>
          <w:lang w:val="en-US" w:eastAsia="de-DE"/>
        </w:rPr>
        <w:t>e consecutive stages: (1) Knowl</w:t>
      </w:r>
      <w:r w:rsidRPr="00512F1A">
        <w:rPr>
          <w:lang w:val="en-US" w:eastAsia="de-DE"/>
        </w:rPr>
        <w:t xml:space="preserve">edge, (2) Persuasion, (3) Decision, </w:t>
      </w:r>
      <w:r w:rsidR="00EB0306">
        <w:rPr>
          <w:lang w:val="en-US" w:eastAsia="de-DE"/>
        </w:rPr>
        <w:t>(4) Implementation, and (5) Confi</w:t>
      </w:r>
      <w:r w:rsidRPr="00512F1A">
        <w:rPr>
          <w:lang w:val="en-US" w:eastAsia="de-DE"/>
        </w:rPr>
        <w:t>rmation (Rogers, 2003). In the Knowledge stage, the i</w:t>
      </w:r>
      <w:r w:rsidR="00EB0306">
        <w:rPr>
          <w:lang w:val="en-US" w:eastAsia="de-DE"/>
        </w:rPr>
        <w:t>ndividual learns about the emergence of an innovation infl</w:t>
      </w:r>
      <w:r w:rsidRPr="00512F1A">
        <w:rPr>
          <w:lang w:val="en-US" w:eastAsia="de-DE"/>
        </w:rPr>
        <w:t>uenced by prior conditions (previous practice, problems and needs, innovativeness, and norms of the socia</w:t>
      </w:r>
      <w:r w:rsidR="00EB0306">
        <w:rPr>
          <w:lang w:val="en-US" w:eastAsia="de-DE"/>
        </w:rPr>
        <w:t>l system) and by his own charac</w:t>
      </w:r>
      <w:r w:rsidRPr="00512F1A">
        <w:rPr>
          <w:lang w:val="en-US" w:eastAsia="de-DE"/>
        </w:rPr>
        <w:t xml:space="preserve">teristics (socioeconomic characteristics, personality variables and communication behavior). Thus, some adoption mechanisms are predetermined. Subsequently, opinions are formed about the innovation in the </w:t>
      </w:r>
      <w:r w:rsidR="00EB0306">
        <w:rPr>
          <w:lang w:val="en-US" w:eastAsia="de-DE"/>
        </w:rPr>
        <w:t>Persuasion stage where six innovation characteristics aff</w:t>
      </w:r>
      <w:r w:rsidRPr="00512F1A">
        <w:rPr>
          <w:lang w:val="en-US" w:eastAsia="de-DE"/>
        </w:rPr>
        <w:t>ect the adoption of innov</w:t>
      </w:r>
      <w:r w:rsidR="00EB0306">
        <w:rPr>
          <w:lang w:val="en-US" w:eastAsia="de-DE"/>
        </w:rPr>
        <w:t>ations: relative advantage, com</w:t>
      </w:r>
      <w:r w:rsidRPr="00512F1A">
        <w:rPr>
          <w:lang w:val="en-US" w:eastAsia="de-DE"/>
        </w:rPr>
        <w:t xml:space="preserve">plexity, compatibility, </w:t>
      </w:r>
      <w:proofErr w:type="spellStart"/>
      <w:r w:rsidRPr="00512F1A">
        <w:rPr>
          <w:lang w:val="en-US" w:eastAsia="de-DE"/>
        </w:rPr>
        <w:t>trialability</w:t>
      </w:r>
      <w:proofErr w:type="spellEnd"/>
      <w:r w:rsidRPr="00512F1A">
        <w:rPr>
          <w:lang w:val="en-US" w:eastAsia="de-DE"/>
        </w:rPr>
        <w:t xml:space="preserve">, and </w:t>
      </w:r>
      <w:proofErr w:type="spellStart"/>
      <w:r w:rsidRPr="00512F1A">
        <w:rPr>
          <w:lang w:val="en-US" w:eastAsia="de-DE"/>
        </w:rPr>
        <w:t>observability</w:t>
      </w:r>
      <w:proofErr w:type="spellEnd"/>
      <w:r w:rsidRPr="00512F1A">
        <w:rPr>
          <w:lang w:val="en-US" w:eastAsia="de-DE"/>
        </w:rPr>
        <w:t xml:space="preserve"> (Rogers, 2003). The </w:t>
      </w:r>
      <w:r w:rsidR="00EB0306">
        <w:rPr>
          <w:lang w:val="en-US" w:eastAsia="de-DE"/>
        </w:rPr>
        <w:t>fi</w:t>
      </w:r>
      <w:r w:rsidRPr="00512F1A">
        <w:rPr>
          <w:lang w:val="en-US" w:eastAsia="de-DE"/>
        </w:rPr>
        <w:t>rst three concepts are similar to the ones in the previous TAM-model.</w:t>
      </w:r>
    </w:p>
    <w:p w:rsidR="00512F1A" w:rsidRPr="00512F1A" w:rsidRDefault="00512F1A" w:rsidP="00223B6D">
      <w:pPr>
        <w:spacing w:line="276" w:lineRule="auto"/>
        <w:rPr>
          <w:lang w:val="en-US" w:eastAsia="de-DE"/>
        </w:rPr>
      </w:pPr>
    </w:p>
    <w:p w:rsidR="00512F1A" w:rsidRPr="00512F1A" w:rsidRDefault="00B83D5D" w:rsidP="00223B6D">
      <w:pPr>
        <w:spacing w:line="276" w:lineRule="auto"/>
        <w:rPr>
          <w:lang w:val="en-US" w:eastAsia="de-DE"/>
        </w:rPr>
      </w:pPr>
      <w:r>
        <w:rPr>
          <w:lang w:val="en-US" w:eastAsia="de-DE"/>
        </w:rPr>
        <w:t>Out of</w:t>
      </w:r>
      <w:r w:rsidRPr="00512F1A">
        <w:rPr>
          <w:lang w:val="en-US" w:eastAsia="de-DE"/>
        </w:rPr>
        <w:t xml:space="preserve"> </w:t>
      </w:r>
      <w:r w:rsidR="00512F1A" w:rsidRPr="00512F1A">
        <w:rPr>
          <w:lang w:val="en-US" w:eastAsia="de-DE"/>
        </w:rPr>
        <w:t xml:space="preserve">these constructs, the </w:t>
      </w:r>
      <w:r w:rsidR="00EB0306">
        <w:rPr>
          <w:lang w:val="en-US" w:eastAsia="de-DE"/>
        </w:rPr>
        <w:t>fi</w:t>
      </w:r>
      <w:r w:rsidR="00512F1A" w:rsidRPr="00512F1A">
        <w:rPr>
          <w:lang w:val="en-US" w:eastAsia="de-DE"/>
        </w:rPr>
        <w:t>rst three of them have provided the most accurate prediction for the intention to use NF</w:t>
      </w:r>
      <w:r w:rsidR="00EB0306">
        <w:rPr>
          <w:lang w:val="en-US" w:eastAsia="de-DE"/>
        </w:rPr>
        <w:t>C-enabled mobile credit cards (</w:t>
      </w:r>
      <w:r w:rsidR="00512F1A" w:rsidRPr="00512F1A">
        <w:rPr>
          <w:lang w:val="en-US" w:eastAsia="de-DE"/>
        </w:rPr>
        <w:t>Leong et al., 2013). With respect to complexity, (mobile) contactless payment is expected to increase the convenience of payments and therefore usage by reducing the need for coins a</w:t>
      </w:r>
      <w:r w:rsidR="00EB0306">
        <w:rPr>
          <w:lang w:val="en-US" w:eastAsia="de-DE"/>
        </w:rPr>
        <w:t>nd cash in small transactions (</w:t>
      </w:r>
      <w:proofErr w:type="spellStart"/>
      <w:r w:rsidR="00512F1A" w:rsidRPr="00512F1A">
        <w:rPr>
          <w:lang w:val="en-US" w:eastAsia="de-DE"/>
        </w:rPr>
        <w:t>Mallat</w:t>
      </w:r>
      <w:proofErr w:type="spellEnd"/>
      <w:r w:rsidR="00512F1A" w:rsidRPr="00512F1A">
        <w:rPr>
          <w:lang w:val="en-US" w:eastAsia="de-DE"/>
        </w:rPr>
        <w:t xml:space="preserve"> et al., 2004). In the third stage, the Decision stage, the individual </w:t>
      </w:r>
      <w:r w:rsidR="00EB0306">
        <w:rPr>
          <w:lang w:val="en-US" w:eastAsia="de-DE"/>
        </w:rPr>
        <w:t>fi</w:t>
      </w:r>
      <w:r w:rsidR="00512F1A" w:rsidRPr="00512F1A">
        <w:rPr>
          <w:lang w:val="en-US" w:eastAsia="de-DE"/>
        </w:rPr>
        <w:t>nally chooses to adopt or reject the innovation based on the former stages.</w:t>
      </w:r>
    </w:p>
    <w:p w:rsidR="00512F1A" w:rsidRPr="00512F1A" w:rsidRDefault="00512F1A" w:rsidP="00223B6D">
      <w:pPr>
        <w:spacing w:line="276" w:lineRule="auto"/>
        <w:rPr>
          <w:lang w:val="en-US" w:eastAsia="de-DE"/>
        </w:rPr>
      </w:pPr>
    </w:p>
    <w:p w:rsidR="00512F1A" w:rsidRPr="00512F1A" w:rsidRDefault="00EB0306" w:rsidP="00223B6D">
      <w:pPr>
        <w:spacing w:line="276" w:lineRule="auto"/>
        <w:rPr>
          <w:lang w:val="en-US" w:eastAsia="de-DE"/>
        </w:rPr>
      </w:pPr>
      <w:proofErr w:type="gramStart"/>
      <w:r w:rsidRPr="00EB0306">
        <w:rPr>
          <w:b/>
          <w:lang w:val="en-US" w:eastAsia="de-DE"/>
        </w:rPr>
        <w:t>Unifi</w:t>
      </w:r>
      <w:r w:rsidR="00512F1A" w:rsidRPr="00EB0306">
        <w:rPr>
          <w:b/>
          <w:lang w:val="en-US" w:eastAsia="de-DE"/>
        </w:rPr>
        <w:t>ed Theory of Acceptance and Use of Technology (UTAUT).</w:t>
      </w:r>
      <w:proofErr w:type="gramEnd"/>
      <w:r w:rsidR="00512F1A" w:rsidRPr="00512F1A">
        <w:rPr>
          <w:lang w:val="en-US" w:eastAsia="de-DE"/>
        </w:rPr>
        <w:t xml:space="preserve"> This model represents an extension of the previous TAM and IDT model (among others) and explains user intentions a</w:t>
      </w:r>
      <w:r>
        <w:rPr>
          <w:lang w:val="en-US" w:eastAsia="de-DE"/>
        </w:rPr>
        <w:t>nd subsequent usage behavior (</w:t>
      </w:r>
      <w:proofErr w:type="spellStart"/>
      <w:r w:rsidR="00512F1A" w:rsidRPr="00512F1A">
        <w:rPr>
          <w:lang w:val="en-US" w:eastAsia="de-DE"/>
        </w:rPr>
        <w:t>Venkatesh</w:t>
      </w:r>
      <w:proofErr w:type="spellEnd"/>
      <w:r w:rsidR="00512F1A" w:rsidRPr="00512F1A">
        <w:rPr>
          <w:lang w:val="en-US" w:eastAsia="de-DE"/>
        </w:rPr>
        <w:t xml:space="preserve"> et al., 2003). T</w:t>
      </w:r>
      <w:r>
        <w:rPr>
          <w:lang w:val="en-US" w:eastAsia="de-DE"/>
        </w:rPr>
        <w:t>he model consists of four key eff</w:t>
      </w:r>
      <w:r w:rsidR="00512F1A" w:rsidRPr="00512F1A">
        <w:rPr>
          <w:lang w:val="en-US" w:eastAsia="de-DE"/>
        </w:rPr>
        <w:t xml:space="preserve">ects and four moderating factors. While the </w:t>
      </w:r>
      <w:r>
        <w:rPr>
          <w:lang w:val="en-US" w:eastAsia="de-DE"/>
        </w:rPr>
        <w:t>fi</w:t>
      </w:r>
      <w:r w:rsidR="00512F1A" w:rsidRPr="00512F1A">
        <w:rPr>
          <w:lang w:val="en-US" w:eastAsia="de-DE"/>
        </w:rPr>
        <w:t>rst three core constructs</w:t>
      </w:r>
      <w:r w:rsidR="00C7501E">
        <w:rPr>
          <w:lang w:val="en-US" w:eastAsia="de-DE"/>
        </w:rPr>
        <w:t xml:space="preserve"> – </w:t>
      </w:r>
      <w:r w:rsidR="003304E5">
        <w:rPr>
          <w:lang w:val="en-US" w:eastAsia="de-DE"/>
        </w:rPr>
        <w:t>Performance Expectancy (PE), Eff</w:t>
      </w:r>
      <w:r w:rsidR="00512F1A" w:rsidRPr="00512F1A">
        <w:rPr>
          <w:lang w:val="en-US" w:eastAsia="de-DE"/>
        </w:rPr>
        <w:t>ort</w:t>
      </w:r>
      <w:r>
        <w:rPr>
          <w:lang w:val="en-US" w:eastAsia="de-DE"/>
        </w:rPr>
        <w:t xml:space="preserve"> Expectancy (EE), and Social Infl</w:t>
      </w:r>
      <w:r w:rsidR="00512F1A" w:rsidRPr="00512F1A">
        <w:rPr>
          <w:lang w:val="en-US" w:eastAsia="de-DE"/>
        </w:rPr>
        <w:t>uence (SI)</w:t>
      </w:r>
      <w:r w:rsidR="00C7501E">
        <w:rPr>
          <w:lang w:val="en-US" w:eastAsia="de-DE"/>
        </w:rPr>
        <w:t xml:space="preserve"> –</w:t>
      </w:r>
      <w:r w:rsidR="00512F1A" w:rsidRPr="00512F1A">
        <w:rPr>
          <w:lang w:val="en-US" w:eastAsia="de-DE"/>
        </w:rPr>
        <w:t xml:space="preserve"> directly i</w:t>
      </w:r>
      <w:r>
        <w:rPr>
          <w:lang w:val="en-US" w:eastAsia="de-DE"/>
        </w:rPr>
        <w:t>nfl</w:t>
      </w:r>
      <w:r w:rsidR="00512F1A" w:rsidRPr="00512F1A">
        <w:rPr>
          <w:lang w:val="en-US" w:eastAsia="de-DE"/>
        </w:rPr>
        <w:t>uence the behavioral intention, the forth construct</w:t>
      </w:r>
      <w:r w:rsidR="00C7501E">
        <w:rPr>
          <w:lang w:val="en-US" w:eastAsia="de-DE"/>
        </w:rPr>
        <w:t xml:space="preserve"> –</w:t>
      </w:r>
      <w:r w:rsidR="00512F1A" w:rsidRPr="00512F1A">
        <w:rPr>
          <w:lang w:val="en-US" w:eastAsia="de-DE"/>
        </w:rPr>
        <w:t xml:space="preserve"> Facilitating Conditions (FC)</w:t>
      </w:r>
      <w:r w:rsidR="00C7501E">
        <w:rPr>
          <w:lang w:val="en-US" w:eastAsia="de-DE"/>
        </w:rPr>
        <w:t xml:space="preserve"> –</w:t>
      </w:r>
      <w:r w:rsidR="00512F1A" w:rsidRPr="00512F1A">
        <w:rPr>
          <w:lang w:val="en-US" w:eastAsia="de-DE"/>
        </w:rPr>
        <w:t xml:space="preserve"> </w:t>
      </w:r>
      <w:r w:rsidR="00C7501E">
        <w:rPr>
          <w:lang w:val="en-US" w:eastAsia="de-DE"/>
        </w:rPr>
        <w:t>has</w:t>
      </w:r>
      <w:r w:rsidR="00C7501E" w:rsidRPr="00512F1A">
        <w:rPr>
          <w:lang w:val="en-US" w:eastAsia="de-DE"/>
        </w:rPr>
        <w:t xml:space="preserve"> </w:t>
      </w:r>
      <w:r w:rsidR="00512F1A" w:rsidRPr="00512F1A">
        <w:rPr>
          <w:lang w:val="en-US" w:eastAsia="de-DE"/>
        </w:rPr>
        <w:t>a direct impact on use behavior. The four remaining factors Gender, Age, Experience, and Voluntariness of Use the</w:t>
      </w:r>
      <w:r>
        <w:rPr>
          <w:lang w:val="en-US" w:eastAsia="de-DE"/>
        </w:rPr>
        <w:t>reby moderate the initial key eff</w:t>
      </w:r>
      <w:r w:rsidR="00512F1A" w:rsidRPr="00512F1A">
        <w:rPr>
          <w:lang w:val="en-US" w:eastAsia="de-DE"/>
        </w:rPr>
        <w:t>ects.</w:t>
      </w:r>
    </w:p>
    <w:p w:rsidR="00512F1A" w:rsidRPr="00512F1A" w:rsidRDefault="00512F1A"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Empirical testing has shown that PE, which is similar to Perceived Usefulness in the IDT model, is the strongest predictor of intention in the context of the UTAUT. Time savings, usefulness and convenience are concepts which measure performance expectancy and are positively related to contactless payment (Yu, 2012). These characteristics should therefore advance the usage of contactless payment. Gender studies have revealed that PE is especially salient for men since</w:t>
      </w:r>
      <w:r>
        <w:rPr>
          <w:lang w:val="en-US" w:eastAsia="de-DE"/>
        </w:rPr>
        <w:t xml:space="preserve"> </w:t>
      </w:r>
      <w:r w:rsidRPr="00512F1A">
        <w:rPr>
          <w:lang w:val="en-US" w:eastAsia="de-DE"/>
        </w:rPr>
        <w:t>they tend to be m</w:t>
      </w:r>
      <w:r w:rsidR="00EB0306">
        <w:rPr>
          <w:lang w:val="en-US" w:eastAsia="de-DE"/>
        </w:rPr>
        <w:t>ore task-oriented. Also, age diff</w:t>
      </w:r>
      <w:r w:rsidRPr="00512F1A">
        <w:rPr>
          <w:lang w:val="en-US" w:eastAsia="de-DE"/>
        </w:rPr>
        <w:t>erences determine technology adoption (</w:t>
      </w:r>
      <w:proofErr w:type="spellStart"/>
      <w:r w:rsidRPr="00512F1A">
        <w:rPr>
          <w:lang w:val="en-US" w:eastAsia="de-DE"/>
        </w:rPr>
        <w:t>Venkatesh</w:t>
      </w:r>
      <w:proofErr w:type="spellEnd"/>
      <w:r w:rsidRPr="00512F1A">
        <w:rPr>
          <w:lang w:val="en-US" w:eastAsia="de-DE"/>
        </w:rPr>
        <w:t xml:space="preserve"> et al., 2003).</w:t>
      </w:r>
      <w:r>
        <w:rPr>
          <w:lang w:val="en-US" w:eastAsia="de-DE"/>
        </w:rPr>
        <w:t xml:space="preserve"> </w:t>
      </w:r>
    </w:p>
    <w:p w:rsidR="00EB0306" w:rsidRDefault="00EB0306"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EE is eval</w:t>
      </w:r>
      <w:r w:rsidR="00EB0306">
        <w:rPr>
          <w:lang w:val="en-US" w:eastAsia="de-DE"/>
        </w:rPr>
        <w:t>uated by questions about the diffi</w:t>
      </w:r>
      <w:r w:rsidRPr="00512F1A">
        <w:rPr>
          <w:lang w:val="en-US" w:eastAsia="de-DE"/>
        </w:rPr>
        <w:t>culty of learning, interacting and becoming skillful</w:t>
      </w:r>
      <w:r w:rsidR="00EB0306">
        <w:rPr>
          <w:lang w:val="en-US" w:eastAsia="de-DE"/>
        </w:rPr>
        <w:t xml:space="preserve"> in applying new technologies (</w:t>
      </w:r>
      <w:r w:rsidRPr="00512F1A">
        <w:rPr>
          <w:lang w:val="en-US" w:eastAsia="de-DE"/>
        </w:rPr>
        <w:t xml:space="preserve">Yu, 2012). </w:t>
      </w:r>
      <w:proofErr w:type="spellStart"/>
      <w:r w:rsidRPr="00512F1A">
        <w:rPr>
          <w:lang w:val="en-US" w:eastAsia="de-DE"/>
        </w:rPr>
        <w:t>Venkatesh</w:t>
      </w:r>
      <w:proofErr w:type="spellEnd"/>
      <w:r w:rsidRPr="00512F1A">
        <w:rPr>
          <w:lang w:val="en-US" w:eastAsia="de-DE"/>
        </w:rPr>
        <w:t xml:space="preserve"> et al. (2003) show th</w:t>
      </w:r>
      <w:r w:rsidR="00EB0306">
        <w:rPr>
          <w:lang w:val="en-US" w:eastAsia="de-DE"/>
        </w:rPr>
        <w:t xml:space="preserve">at this </w:t>
      </w:r>
      <w:proofErr w:type="gramStart"/>
      <w:r w:rsidR="00EB0306">
        <w:rPr>
          <w:lang w:val="en-US" w:eastAsia="de-DE"/>
        </w:rPr>
        <w:t>construct</w:t>
      </w:r>
      <w:proofErr w:type="gramEnd"/>
      <w:r w:rsidR="00EB0306">
        <w:rPr>
          <w:lang w:val="en-US" w:eastAsia="de-DE"/>
        </w:rPr>
        <w:t xml:space="preserve"> is only signifi</w:t>
      </w:r>
      <w:r w:rsidRPr="00512F1A">
        <w:rPr>
          <w:lang w:val="en-US" w:eastAsia="de-DE"/>
        </w:rPr>
        <w:t>cant for users with a non-existing or low exper</w:t>
      </w:r>
      <w:r w:rsidR="00EB0306">
        <w:rPr>
          <w:lang w:val="en-US" w:eastAsia="de-DE"/>
        </w:rPr>
        <w:t>ience level, becoming non-signifi</w:t>
      </w:r>
      <w:r w:rsidRPr="00512F1A">
        <w:rPr>
          <w:lang w:val="en-US" w:eastAsia="de-DE"/>
        </w:rPr>
        <w:t>cant over periods of extended and sustained usage. EE is more salient for women than for men whereas incre</w:t>
      </w:r>
      <w:r w:rsidR="00EB0306">
        <w:rPr>
          <w:lang w:val="en-US" w:eastAsia="de-DE"/>
        </w:rPr>
        <w:t>asing age is associated with diffi</w:t>
      </w:r>
      <w:r w:rsidRPr="00512F1A">
        <w:rPr>
          <w:lang w:val="en-US" w:eastAsia="de-DE"/>
        </w:rPr>
        <w:t xml:space="preserve">culties </w:t>
      </w:r>
      <w:r w:rsidR="00EB0306">
        <w:rPr>
          <w:lang w:val="en-US" w:eastAsia="de-DE"/>
        </w:rPr>
        <w:t>in processing complex stimuli (</w:t>
      </w:r>
      <w:proofErr w:type="spellStart"/>
      <w:r w:rsidRPr="00512F1A">
        <w:rPr>
          <w:lang w:val="en-US" w:eastAsia="de-DE"/>
        </w:rPr>
        <w:t>Venkatesh</w:t>
      </w:r>
      <w:proofErr w:type="spellEnd"/>
      <w:r w:rsidRPr="00512F1A">
        <w:rPr>
          <w:lang w:val="en-US" w:eastAsia="de-DE"/>
        </w:rPr>
        <w:t xml:space="preserve"> et al., 2003). This implies younger cohorts to be more prone to contactless payment.</w:t>
      </w:r>
      <w:r>
        <w:rPr>
          <w:lang w:val="en-US" w:eastAsia="de-DE"/>
        </w:rPr>
        <w:t xml:space="preserve"> </w:t>
      </w:r>
    </w:p>
    <w:p w:rsidR="00512F1A" w:rsidRDefault="00512F1A"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 xml:space="preserve">SI suggests </w:t>
      </w:r>
      <w:r w:rsidR="00EB0306">
        <w:rPr>
          <w:lang w:val="en-US" w:eastAsia="de-DE"/>
        </w:rPr>
        <w:t>that individuals' behavior is aff</w:t>
      </w:r>
      <w:r w:rsidRPr="00512F1A">
        <w:rPr>
          <w:lang w:val="en-US" w:eastAsia="de-DE"/>
        </w:rPr>
        <w:t>ec</w:t>
      </w:r>
      <w:r>
        <w:rPr>
          <w:lang w:val="en-US" w:eastAsia="de-DE"/>
        </w:rPr>
        <w:t>ted by the way in which they be</w:t>
      </w:r>
      <w:r w:rsidRPr="00512F1A">
        <w:rPr>
          <w:lang w:val="en-US" w:eastAsia="de-DE"/>
        </w:rPr>
        <w:t xml:space="preserve">lieve others will view them as a result </w:t>
      </w:r>
      <w:r w:rsidR="00EB0306">
        <w:rPr>
          <w:lang w:val="en-US" w:eastAsia="de-DE"/>
        </w:rPr>
        <w:t>of having used the technology (</w:t>
      </w:r>
      <w:proofErr w:type="spellStart"/>
      <w:r w:rsidRPr="00512F1A">
        <w:rPr>
          <w:lang w:val="en-US" w:eastAsia="de-DE"/>
        </w:rPr>
        <w:t>Venkatesh</w:t>
      </w:r>
      <w:proofErr w:type="spellEnd"/>
      <w:r>
        <w:rPr>
          <w:lang w:val="en-US" w:eastAsia="de-DE"/>
        </w:rPr>
        <w:t xml:space="preserve"> et al., </w:t>
      </w:r>
      <w:r w:rsidRPr="00512F1A">
        <w:rPr>
          <w:lang w:val="en-US" w:eastAsia="de-DE"/>
        </w:rPr>
        <w:t>2003). Its role in technology accepta</w:t>
      </w:r>
      <w:r w:rsidR="00EB0306">
        <w:rPr>
          <w:lang w:val="en-US" w:eastAsia="de-DE"/>
        </w:rPr>
        <w:t>nce decisions is complex and influences indi</w:t>
      </w:r>
      <w:r w:rsidRPr="00512F1A">
        <w:rPr>
          <w:lang w:val="en-US" w:eastAsia="de-DE"/>
        </w:rPr>
        <w:t>viduals through three mechanisms: compliance, internalizat</w:t>
      </w:r>
      <w:r w:rsidR="00EB0306">
        <w:rPr>
          <w:lang w:val="en-US" w:eastAsia="de-DE"/>
        </w:rPr>
        <w:t>ion and identifi</w:t>
      </w:r>
      <w:r w:rsidRPr="00512F1A">
        <w:rPr>
          <w:lang w:val="en-US" w:eastAsia="de-DE"/>
        </w:rPr>
        <w:t xml:space="preserve">cation. The latter two intend to alter an individual's belief structure and/or to cause an individual to respond to potential social status gains. The former mechanism causes an individual to alter his intention in response to social pressure. Positively attributed characteristics of </w:t>
      </w:r>
      <w:r w:rsidRPr="00512F1A">
        <w:rPr>
          <w:lang w:val="en-US" w:eastAsia="de-DE"/>
        </w:rPr>
        <w:lastRenderedPageBreak/>
        <w:t>contactless payment such as transaction speed and convenience positively alters the individual's beli</w:t>
      </w:r>
      <w:r w:rsidR="00EB0306">
        <w:rPr>
          <w:lang w:val="en-US" w:eastAsia="de-DE"/>
        </w:rPr>
        <w:t>ef structure and hence can positively infl</w:t>
      </w:r>
      <w:r w:rsidRPr="00512F1A">
        <w:rPr>
          <w:lang w:val="en-US" w:eastAsia="de-DE"/>
        </w:rPr>
        <w:t xml:space="preserve">uence usage. However, the reliance on others' opinions, i.e. manifested itself in social </w:t>
      </w:r>
      <w:r w:rsidR="00EB0306">
        <w:rPr>
          <w:lang w:val="en-US" w:eastAsia="de-DE"/>
        </w:rPr>
        <w:t>pressure, is particularly signifi</w:t>
      </w:r>
      <w:r w:rsidRPr="00512F1A">
        <w:rPr>
          <w:lang w:val="en-US" w:eastAsia="de-DE"/>
        </w:rPr>
        <w:t xml:space="preserve">cant in </w:t>
      </w:r>
      <w:r w:rsidR="00EB0306">
        <w:rPr>
          <w:lang w:val="en-US" w:eastAsia="de-DE"/>
        </w:rPr>
        <w:t>the early stages of the technol</w:t>
      </w:r>
      <w:r w:rsidRPr="00512F1A">
        <w:rPr>
          <w:lang w:val="en-US" w:eastAsia="de-DE"/>
        </w:rPr>
        <w:t>ogy experience when individuals are uninformed. This in turn will attenuate over time since a more instrumental (r</w:t>
      </w:r>
      <w:r w:rsidR="00EB0306">
        <w:rPr>
          <w:lang w:val="en-US" w:eastAsia="de-DE"/>
        </w:rPr>
        <w:t>ather than social) basis will affect the technol</w:t>
      </w:r>
      <w:r w:rsidRPr="00512F1A">
        <w:rPr>
          <w:lang w:val="en-US" w:eastAsia="de-DE"/>
        </w:rPr>
        <w:t>ogy usag</w:t>
      </w:r>
      <w:r w:rsidR="00EB0306">
        <w:rPr>
          <w:lang w:val="en-US" w:eastAsia="de-DE"/>
        </w:rPr>
        <w:t>e due to increased experience (</w:t>
      </w:r>
      <w:proofErr w:type="spellStart"/>
      <w:r w:rsidRPr="00512F1A">
        <w:rPr>
          <w:lang w:val="en-US" w:eastAsia="de-DE"/>
        </w:rPr>
        <w:t>Ven</w:t>
      </w:r>
      <w:r w:rsidR="00EB0306">
        <w:rPr>
          <w:lang w:val="en-US" w:eastAsia="de-DE"/>
        </w:rPr>
        <w:t>katesh</w:t>
      </w:r>
      <w:proofErr w:type="spellEnd"/>
      <w:r w:rsidR="00EB0306">
        <w:rPr>
          <w:lang w:val="en-US" w:eastAsia="de-DE"/>
        </w:rPr>
        <w:t xml:space="preserve"> et al., 2003). Social Infl</w:t>
      </w:r>
      <w:r w:rsidRPr="00512F1A">
        <w:rPr>
          <w:lang w:val="en-US" w:eastAsia="de-DE"/>
        </w:rPr>
        <w:t xml:space="preserve">uence is more salient for women regarding the technology acceptance decision process since they tend to be more sensitive to others' opinions. Moreover, elderly people are more likely to place </w:t>
      </w:r>
      <w:r w:rsidR="00EB0306">
        <w:rPr>
          <w:lang w:val="en-US" w:eastAsia="de-DE"/>
        </w:rPr>
        <w:t>increased salience on social infl</w:t>
      </w:r>
      <w:r w:rsidRPr="00512F1A">
        <w:rPr>
          <w:lang w:val="en-US" w:eastAsia="de-DE"/>
        </w:rPr>
        <w:t>uen</w:t>
      </w:r>
      <w:r w:rsidR="00EB0306">
        <w:rPr>
          <w:lang w:val="en-US" w:eastAsia="de-DE"/>
        </w:rPr>
        <w:t>ces since they possess higher affi</w:t>
      </w:r>
      <w:r w:rsidRPr="00512F1A">
        <w:rPr>
          <w:lang w:val="en-US" w:eastAsia="de-DE"/>
        </w:rPr>
        <w:t>liation needs (</w:t>
      </w:r>
      <w:proofErr w:type="spellStart"/>
      <w:r w:rsidRPr="00512F1A">
        <w:rPr>
          <w:lang w:val="en-US" w:eastAsia="de-DE"/>
        </w:rPr>
        <w:t>Venkatesh</w:t>
      </w:r>
      <w:proofErr w:type="spellEnd"/>
      <w:r w:rsidRPr="00512F1A">
        <w:rPr>
          <w:lang w:val="en-US" w:eastAsia="de-DE"/>
        </w:rPr>
        <w:t xml:space="preserve"> et al., 2003).</w:t>
      </w:r>
    </w:p>
    <w:p w:rsidR="00512F1A" w:rsidRDefault="00512F1A"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 xml:space="preserve">In </w:t>
      </w:r>
      <w:r w:rsidR="001E2129">
        <w:rPr>
          <w:lang w:val="en-US" w:eastAsia="de-DE"/>
        </w:rPr>
        <w:t>conclusion,</w:t>
      </w:r>
      <w:r w:rsidRPr="00512F1A">
        <w:rPr>
          <w:lang w:val="en-US" w:eastAsia="de-DE"/>
        </w:rPr>
        <w:t xml:space="preserve"> the adoption and usa</w:t>
      </w:r>
      <w:r w:rsidR="00EB0306">
        <w:rPr>
          <w:lang w:val="en-US" w:eastAsia="de-DE"/>
        </w:rPr>
        <w:t>ge of contactless payment is influenced by vari</w:t>
      </w:r>
      <w:r w:rsidRPr="00512F1A">
        <w:rPr>
          <w:lang w:val="en-US" w:eastAsia="de-DE"/>
        </w:rPr>
        <w:t>ous factors that are partly predetermined and therefore it follows a non-random pattern.</w:t>
      </w:r>
    </w:p>
    <w:p w:rsidR="00512F1A" w:rsidRDefault="00512F1A" w:rsidP="00223B6D">
      <w:pPr>
        <w:spacing w:line="276" w:lineRule="auto"/>
        <w:rPr>
          <w:lang w:val="en-US" w:eastAsia="de-DE"/>
        </w:rPr>
      </w:pPr>
    </w:p>
    <w:p w:rsidR="00512F1A" w:rsidRDefault="00512F1A" w:rsidP="00223B6D">
      <w:pPr>
        <w:pStyle w:val="Nadpis1"/>
        <w:spacing w:line="276" w:lineRule="auto"/>
        <w:rPr>
          <w:lang w:val="en-US" w:eastAsia="de-DE"/>
        </w:rPr>
      </w:pPr>
      <w:r>
        <w:rPr>
          <w:lang w:val="en-US" w:eastAsia="de-DE"/>
        </w:rPr>
        <w:t>Data</w:t>
      </w:r>
    </w:p>
    <w:p w:rsidR="00512F1A" w:rsidRDefault="00512F1A" w:rsidP="00223B6D">
      <w:pPr>
        <w:pStyle w:val="Nadpis2"/>
        <w:spacing w:line="276" w:lineRule="auto"/>
        <w:rPr>
          <w:lang w:val="en-US" w:eastAsia="de-DE"/>
        </w:rPr>
      </w:pPr>
      <w:r>
        <w:rPr>
          <w:lang w:val="en-US" w:eastAsia="de-DE"/>
        </w:rPr>
        <w:t>Source</w:t>
      </w:r>
    </w:p>
    <w:p w:rsidR="00512F1A" w:rsidRDefault="00512F1A" w:rsidP="00223B6D">
      <w:pPr>
        <w:spacing w:line="276" w:lineRule="auto"/>
        <w:rPr>
          <w:lang w:val="en-US" w:eastAsia="de-DE"/>
        </w:rPr>
      </w:pPr>
      <w:r w:rsidRPr="00512F1A">
        <w:rPr>
          <w:lang w:val="en-US" w:eastAsia="de-DE"/>
        </w:rPr>
        <w:t xml:space="preserve">Data is drawn from the Federal Reserve Bank </w:t>
      </w:r>
      <w:r w:rsidR="00890D4E">
        <w:rPr>
          <w:lang w:val="en-US" w:eastAsia="de-DE"/>
        </w:rPr>
        <w:t>of Boston that supports the Con</w:t>
      </w:r>
      <w:r w:rsidRPr="00512F1A">
        <w:rPr>
          <w:lang w:val="en-US" w:eastAsia="de-DE"/>
        </w:rPr>
        <w:t xml:space="preserve">sumer Payments Research Center (CPRC), which regularly conducts the Survey of </w:t>
      </w:r>
      <w:r>
        <w:rPr>
          <w:lang w:val="en-US" w:eastAsia="de-DE"/>
        </w:rPr>
        <w:t>Consumer Payment Choice (SCPC).</w:t>
      </w:r>
      <w:r>
        <w:rPr>
          <w:rStyle w:val="Znakapoznpodarou"/>
          <w:lang w:val="en-US" w:eastAsia="de-DE"/>
        </w:rPr>
        <w:footnoteReference w:id="7"/>
      </w:r>
      <w:r w:rsidRPr="00512F1A">
        <w:rPr>
          <w:lang w:val="en-US" w:eastAsia="de-DE"/>
        </w:rPr>
        <w:t xml:space="preserve"> It is a rich nationally-representative and publicly-available data set on consumer payment behavior in the US. The survey focuses on the adoption and use of nine common paym</w:t>
      </w:r>
      <w:r>
        <w:rPr>
          <w:lang w:val="en-US" w:eastAsia="de-DE"/>
        </w:rPr>
        <w:t>ent instruments including cash.</w:t>
      </w:r>
      <w:r>
        <w:rPr>
          <w:rStyle w:val="Znakapoznpodarou"/>
          <w:lang w:val="en-US" w:eastAsia="de-DE"/>
        </w:rPr>
        <w:footnoteReference w:id="8"/>
      </w:r>
      <w:r w:rsidRPr="00512F1A">
        <w:rPr>
          <w:lang w:val="en-US" w:eastAsia="de-DE"/>
        </w:rPr>
        <w:t xml:space="preserve"> Also, the perception</w:t>
      </w:r>
      <w:r w:rsidR="00890D4E">
        <w:rPr>
          <w:lang w:val="en-US" w:eastAsia="de-DE"/>
        </w:rPr>
        <w:t>s</w:t>
      </w:r>
      <w:r w:rsidRPr="00512F1A">
        <w:rPr>
          <w:lang w:val="en-US" w:eastAsia="de-DE"/>
        </w:rPr>
        <w:t xml:space="preserve"> on method of payment attributes are questioned and information on demographics </w:t>
      </w:r>
      <w:r w:rsidR="00735660">
        <w:rPr>
          <w:lang w:val="en-US" w:eastAsia="de-DE"/>
        </w:rPr>
        <w:t xml:space="preserve">is </w:t>
      </w:r>
      <w:r w:rsidRPr="00512F1A">
        <w:rPr>
          <w:lang w:val="en-US" w:eastAsia="de-DE"/>
        </w:rPr>
        <w:t>provided. The latest publicly-accessible data dates back to 2010 and was administrated onl</w:t>
      </w:r>
      <w:r w:rsidR="00890D4E">
        <w:rPr>
          <w:lang w:val="en-US" w:eastAsia="de-DE"/>
        </w:rPr>
        <w:t>ine by the RAND Corporation, us</w:t>
      </w:r>
      <w:r w:rsidRPr="00512F1A">
        <w:rPr>
          <w:lang w:val="en-US" w:eastAsia="de-DE"/>
        </w:rPr>
        <w:t>ing RAND's American Life Panel, to a random sample of 2102 US consumers primarily in October during fall 2010 whose responses were weighted to represent all US consumers ages 18 years and older. The reporting unit of the SCPC is an individual consumer in the US. The reason to monitor individuals rather than households stems from the</w:t>
      </w:r>
      <w:r w:rsidR="00D92DE3">
        <w:rPr>
          <w:lang w:val="en-US" w:eastAsia="de-DE"/>
        </w:rPr>
        <w:t xml:space="preserve"> fact that it i</w:t>
      </w:r>
      <w:r w:rsidRPr="00512F1A">
        <w:rPr>
          <w:lang w:val="en-US" w:eastAsia="de-DE"/>
        </w:rPr>
        <w:t>s unlikely that the head of the household can track the payment behavior of all household members in detail. However, some information about each reporting consumer's household is collected in the survey such as income. It is worth noting that the estimates are not adju</w:t>
      </w:r>
      <w:r w:rsidR="00D92DE3">
        <w:rPr>
          <w:lang w:val="en-US" w:eastAsia="de-DE"/>
        </w:rPr>
        <w:t>sted for seasonal variation, infl</w:t>
      </w:r>
      <w:r w:rsidRPr="00512F1A">
        <w:rPr>
          <w:lang w:val="en-US" w:eastAsia="de-DE"/>
        </w:rPr>
        <w:t xml:space="preserve">ation or item non-response (missing values). Also, the tumultuous years after the </w:t>
      </w:r>
      <w:r w:rsidR="00D92DE3">
        <w:rPr>
          <w:lang w:val="en-US" w:eastAsia="de-DE"/>
        </w:rPr>
        <w:t>fi</w:t>
      </w:r>
      <w:r w:rsidRPr="00512F1A">
        <w:rPr>
          <w:lang w:val="en-US" w:eastAsia="de-DE"/>
        </w:rPr>
        <w:t>nancial crisis in 2008 accompanied by a severe recession could have led to unusual reporting of the number of payments.</w:t>
      </w:r>
    </w:p>
    <w:p w:rsidR="00512F1A" w:rsidRDefault="00512F1A" w:rsidP="00223B6D">
      <w:pPr>
        <w:spacing w:line="276" w:lineRule="auto"/>
        <w:rPr>
          <w:lang w:val="en-US" w:eastAsia="de-DE"/>
        </w:rPr>
      </w:pPr>
    </w:p>
    <w:p w:rsidR="00512F1A" w:rsidRDefault="00512F1A" w:rsidP="00223B6D">
      <w:pPr>
        <w:pStyle w:val="Nadpis2"/>
        <w:spacing w:line="276" w:lineRule="auto"/>
        <w:rPr>
          <w:lang w:val="en-US" w:eastAsia="de-DE"/>
        </w:rPr>
      </w:pPr>
      <w:r>
        <w:rPr>
          <w:lang w:val="en-US" w:eastAsia="de-DE"/>
        </w:rPr>
        <w:t>Description</w:t>
      </w:r>
    </w:p>
    <w:p w:rsidR="00512F1A" w:rsidRDefault="00D92DE3" w:rsidP="00223B6D">
      <w:pPr>
        <w:spacing w:line="276" w:lineRule="auto"/>
        <w:rPr>
          <w:lang w:val="en-US" w:eastAsia="de-DE"/>
        </w:rPr>
      </w:pPr>
      <w:r>
        <w:rPr>
          <w:lang w:val="en-US" w:eastAsia="de-DE"/>
        </w:rPr>
        <w:t>The survey specifi</w:t>
      </w:r>
      <w:r w:rsidR="00512F1A" w:rsidRPr="00512F1A">
        <w:rPr>
          <w:lang w:val="en-US" w:eastAsia="de-DE"/>
        </w:rPr>
        <w:t xml:space="preserve">cally asks respondents if one of their credit and debit cards was equipped with the contactless feature, but unfortunately does not provide exact information on the usage of the technology. Instead, detailed statistics on the usage of conventional credit and debit cards are available as well as their adoption rates. Table 1 shows the market shares of contactless and conventional credit and debit cards as well as the corresponding use of the latter. It reveals that about 9 percent (187 individuals) of the entire sample of 2084 respondents reported that their credit card is equipped with the contactless feature, whereas approximately 12 percent (258 individuals) </w:t>
      </w:r>
      <w:r w:rsidR="00512F1A" w:rsidRPr="00512F1A">
        <w:rPr>
          <w:lang w:val="en-US" w:eastAsia="de-DE"/>
        </w:rPr>
        <w:lastRenderedPageBreak/>
        <w:t>have stated to posses</w:t>
      </w:r>
      <w:r>
        <w:rPr>
          <w:lang w:val="en-US" w:eastAsia="de-DE"/>
        </w:rPr>
        <w:t>s</w:t>
      </w:r>
      <w:r w:rsidR="00512F1A" w:rsidRPr="00512F1A">
        <w:rPr>
          <w:lang w:val="en-US" w:eastAsia="de-DE"/>
        </w:rPr>
        <w:t xml:space="preserve"> a contactless debit card. In</w:t>
      </w:r>
      <w:r w:rsidR="00512F1A">
        <w:rPr>
          <w:lang w:val="en-US" w:eastAsia="de-DE"/>
        </w:rPr>
        <w:t xml:space="preserve"> </w:t>
      </w:r>
      <w:r w:rsidR="00512F1A" w:rsidRPr="00512F1A">
        <w:rPr>
          <w:lang w:val="en-US" w:eastAsia="de-DE"/>
        </w:rPr>
        <w:t>contrast, more than 70 percent have a conventional credit card and around 78 percent a debit card. Credit and debit cards are used at least once within a month by 56 and 63 percent of people in the sample.</w:t>
      </w:r>
    </w:p>
    <w:p w:rsidR="00055009" w:rsidRPr="00512F1A" w:rsidRDefault="00055009" w:rsidP="00223B6D">
      <w:pPr>
        <w:spacing w:line="276" w:lineRule="auto"/>
        <w:rPr>
          <w:lang w:val="en-US" w:eastAsia="de-DE"/>
        </w:rPr>
      </w:pPr>
    </w:p>
    <w:p w:rsidR="00055009" w:rsidRPr="00055009" w:rsidRDefault="009F2BD3" w:rsidP="00223B6D">
      <w:pPr>
        <w:pStyle w:val="Titulek"/>
        <w:keepNext/>
        <w:spacing w:line="276" w:lineRule="auto"/>
        <w:rPr>
          <w:lang w:val="en-US"/>
        </w:rPr>
      </w:pPr>
      <w:r>
        <w:rPr>
          <w:lang w:val="en-US"/>
        </w:rPr>
        <w:t xml:space="preserve">Table </w:t>
      </w:r>
      <w:r w:rsidR="006A23B6">
        <w:rPr>
          <w:lang w:val="en-US"/>
        </w:rPr>
        <w:fldChar w:fldCharType="begin"/>
      </w:r>
      <w:r w:rsidR="0076706F">
        <w:rPr>
          <w:lang w:val="en-US"/>
        </w:rPr>
        <w:instrText xml:space="preserve"> SEQ Table \* ARABIC </w:instrText>
      </w:r>
      <w:r w:rsidR="006A23B6">
        <w:rPr>
          <w:lang w:val="en-US"/>
        </w:rPr>
        <w:fldChar w:fldCharType="separate"/>
      </w:r>
      <w:r w:rsidR="00E45C4F">
        <w:rPr>
          <w:noProof/>
          <w:lang w:val="en-US"/>
        </w:rPr>
        <w:t>1</w:t>
      </w:r>
      <w:r w:rsidR="006A23B6">
        <w:rPr>
          <w:lang w:val="en-US"/>
        </w:rPr>
        <w:fldChar w:fldCharType="end"/>
      </w:r>
      <w:r w:rsidR="00055009" w:rsidRPr="00055009">
        <w:rPr>
          <w:lang w:val="en-US"/>
        </w:rPr>
        <w:t>: Adoption and Usage of Payment Cards</w:t>
      </w:r>
    </w:p>
    <w:tbl>
      <w:tblPr>
        <w:tblW w:w="0" w:type="auto"/>
        <w:jc w:val="center"/>
        <w:tblLayout w:type="fixed"/>
        <w:tblCellMar>
          <w:left w:w="0" w:type="dxa"/>
          <w:right w:w="0" w:type="dxa"/>
        </w:tblCellMar>
        <w:tblLook w:val="0000"/>
      </w:tblPr>
      <w:tblGrid>
        <w:gridCol w:w="1840"/>
        <w:gridCol w:w="800"/>
        <w:gridCol w:w="1200"/>
        <w:gridCol w:w="660"/>
      </w:tblGrid>
      <w:tr w:rsidR="00055009" w:rsidRPr="008B53E5" w:rsidTr="0040442C">
        <w:trPr>
          <w:trHeight w:val="284"/>
          <w:jc w:val="center"/>
        </w:trPr>
        <w:tc>
          <w:tcPr>
            <w:tcW w:w="1840" w:type="dxa"/>
            <w:tcBorders>
              <w:top w:val="nil"/>
              <w:left w:val="nil"/>
              <w:bottom w:val="single" w:sz="8" w:space="0" w:color="auto"/>
              <w:right w:val="nil"/>
            </w:tcBorders>
            <w:vAlign w:val="bottom"/>
          </w:tcPr>
          <w:p w:rsidR="00055009" w:rsidRPr="008B53E5" w:rsidRDefault="00055009" w:rsidP="00223B6D">
            <w:pPr>
              <w:spacing w:line="276" w:lineRule="auto"/>
              <w:rPr>
                <w:sz w:val="20"/>
                <w:lang w:eastAsia="de-DE"/>
              </w:rPr>
            </w:pPr>
            <w:r w:rsidRPr="008B53E5">
              <w:rPr>
                <w:sz w:val="20"/>
                <w:lang w:eastAsia="de-DE"/>
              </w:rPr>
              <w:t>Variable</w:t>
            </w:r>
          </w:p>
        </w:tc>
        <w:tc>
          <w:tcPr>
            <w:tcW w:w="80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proofErr w:type="spellStart"/>
            <w:r w:rsidRPr="008B53E5">
              <w:rPr>
                <w:sz w:val="20"/>
                <w:lang w:eastAsia="de-DE"/>
              </w:rPr>
              <w:t>Mean</w:t>
            </w:r>
            <w:proofErr w:type="spellEnd"/>
          </w:p>
        </w:tc>
        <w:tc>
          <w:tcPr>
            <w:tcW w:w="120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 xml:space="preserve">Std. </w:t>
            </w:r>
            <w:proofErr w:type="spellStart"/>
            <w:r w:rsidRPr="008B53E5">
              <w:rPr>
                <w:sz w:val="20"/>
                <w:lang w:eastAsia="de-DE"/>
              </w:rPr>
              <w:t>Dev</w:t>
            </w:r>
            <w:proofErr w:type="spellEnd"/>
            <w:r w:rsidRPr="008B53E5">
              <w:rPr>
                <w:sz w:val="20"/>
                <w:lang w:eastAsia="de-DE"/>
              </w:rPr>
              <w:t>.</w:t>
            </w:r>
          </w:p>
        </w:tc>
        <w:tc>
          <w:tcPr>
            <w:tcW w:w="66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N</w:t>
            </w:r>
          </w:p>
        </w:tc>
      </w:tr>
      <w:tr w:rsidR="00055009" w:rsidRPr="008B53E5" w:rsidTr="0040442C">
        <w:trPr>
          <w:trHeight w:val="284"/>
          <w:jc w:val="center"/>
        </w:trPr>
        <w:tc>
          <w:tcPr>
            <w:tcW w:w="1840" w:type="dxa"/>
            <w:tcBorders>
              <w:top w:val="nil"/>
              <w:left w:val="nil"/>
              <w:bottom w:val="nil"/>
              <w:right w:val="nil"/>
            </w:tcBorders>
            <w:vAlign w:val="bottom"/>
          </w:tcPr>
          <w:p w:rsidR="00055009" w:rsidRPr="008B53E5" w:rsidRDefault="00055009" w:rsidP="00223B6D">
            <w:pPr>
              <w:spacing w:line="276" w:lineRule="auto"/>
              <w:rPr>
                <w:sz w:val="20"/>
                <w:lang w:eastAsia="de-DE"/>
              </w:rPr>
            </w:pPr>
            <w:proofErr w:type="spellStart"/>
            <w:r w:rsidRPr="008B53E5">
              <w:rPr>
                <w:sz w:val="20"/>
                <w:lang w:eastAsia="de-DE"/>
              </w:rPr>
              <w:t>Contactless</w:t>
            </w:r>
            <w:proofErr w:type="spellEnd"/>
            <w:r w:rsidRPr="008B53E5">
              <w:rPr>
                <w:sz w:val="20"/>
                <w:lang w:eastAsia="de-DE"/>
              </w:rPr>
              <w:t xml:space="preserve"> </w:t>
            </w:r>
            <w:proofErr w:type="spellStart"/>
            <w:r w:rsidRPr="008B53E5">
              <w:rPr>
                <w:sz w:val="20"/>
                <w:lang w:eastAsia="de-DE"/>
              </w:rPr>
              <w:t>Credit</w:t>
            </w:r>
            <w:proofErr w:type="spellEnd"/>
          </w:p>
        </w:tc>
        <w:tc>
          <w:tcPr>
            <w:tcW w:w="8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0.092</w:t>
            </w:r>
          </w:p>
        </w:tc>
        <w:tc>
          <w:tcPr>
            <w:tcW w:w="12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0.289</w:t>
            </w:r>
          </w:p>
        </w:tc>
        <w:tc>
          <w:tcPr>
            <w:tcW w:w="66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2084</w:t>
            </w:r>
          </w:p>
        </w:tc>
      </w:tr>
      <w:tr w:rsidR="00055009" w:rsidRPr="008B53E5" w:rsidTr="0040442C">
        <w:trPr>
          <w:trHeight w:val="284"/>
          <w:jc w:val="center"/>
        </w:trPr>
        <w:tc>
          <w:tcPr>
            <w:tcW w:w="1840" w:type="dxa"/>
            <w:tcBorders>
              <w:top w:val="nil"/>
              <w:left w:val="nil"/>
              <w:bottom w:val="nil"/>
              <w:right w:val="nil"/>
            </w:tcBorders>
            <w:vAlign w:val="bottom"/>
          </w:tcPr>
          <w:p w:rsidR="00055009" w:rsidRPr="008B53E5" w:rsidRDefault="00055009" w:rsidP="00223B6D">
            <w:pPr>
              <w:spacing w:line="276" w:lineRule="auto"/>
              <w:rPr>
                <w:sz w:val="20"/>
                <w:lang w:eastAsia="de-DE"/>
              </w:rPr>
            </w:pPr>
            <w:proofErr w:type="spellStart"/>
            <w:r w:rsidRPr="008B53E5">
              <w:rPr>
                <w:sz w:val="20"/>
                <w:lang w:eastAsia="de-DE"/>
              </w:rPr>
              <w:t>Contactless</w:t>
            </w:r>
            <w:proofErr w:type="spellEnd"/>
            <w:r w:rsidRPr="008B53E5">
              <w:rPr>
                <w:sz w:val="20"/>
                <w:lang w:eastAsia="de-DE"/>
              </w:rPr>
              <w:t xml:space="preserve"> Debit</w:t>
            </w:r>
          </w:p>
        </w:tc>
        <w:tc>
          <w:tcPr>
            <w:tcW w:w="8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0.124</w:t>
            </w:r>
          </w:p>
        </w:tc>
        <w:tc>
          <w:tcPr>
            <w:tcW w:w="12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0.329</w:t>
            </w:r>
          </w:p>
        </w:tc>
        <w:tc>
          <w:tcPr>
            <w:tcW w:w="66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2084</w:t>
            </w:r>
          </w:p>
        </w:tc>
      </w:tr>
      <w:tr w:rsidR="00055009" w:rsidRPr="008B53E5" w:rsidTr="0040442C">
        <w:trPr>
          <w:trHeight w:val="284"/>
          <w:jc w:val="center"/>
        </w:trPr>
        <w:tc>
          <w:tcPr>
            <w:tcW w:w="1840" w:type="dxa"/>
            <w:tcBorders>
              <w:top w:val="nil"/>
              <w:left w:val="nil"/>
              <w:bottom w:val="nil"/>
              <w:right w:val="nil"/>
            </w:tcBorders>
            <w:vAlign w:val="bottom"/>
          </w:tcPr>
          <w:p w:rsidR="00055009" w:rsidRPr="008B53E5" w:rsidRDefault="00055009" w:rsidP="00223B6D">
            <w:pPr>
              <w:spacing w:line="276" w:lineRule="auto"/>
              <w:rPr>
                <w:sz w:val="20"/>
                <w:lang w:eastAsia="de-DE"/>
              </w:rPr>
            </w:pPr>
            <w:proofErr w:type="spellStart"/>
            <w:r w:rsidRPr="008B53E5">
              <w:rPr>
                <w:sz w:val="20"/>
                <w:lang w:eastAsia="de-DE"/>
              </w:rPr>
              <w:t>Credit</w:t>
            </w:r>
            <w:proofErr w:type="spellEnd"/>
          </w:p>
        </w:tc>
        <w:tc>
          <w:tcPr>
            <w:tcW w:w="8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0.703</w:t>
            </w:r>
          </w:p>
        </w:tc>
        <w:tc>
          <w:tcPr>
            <w:tcW w:w="12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0.457</w:t>
            </w:r>
          </w:p>
        </w:tc>
        <w:tc>
          <w:tcPr>
            <w:tcW w:w="66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2088</w:t>
            </w:r>
          </w:p>
        </w:tc>
      </w:tr>
      <w:tr w:rsidR="00055009" w:rsidRPr="008B53E5" w:rsidTr="0040442C">
        <w:trPr>
          <w:trHeight w:val="284"/>
          <w:jc w:val="center"/>
        </w:trPr>
        <w:tc>
          <w:tcPr>
            <w:tcW w:w="1840" w:type="dxa"/>
            <w:tcBorders>
              <w:top w:val="nil"/>
              <w:left w:val="nil"/>
              <w:bottom w:val="nil"/>
              <w:right w:val="nil"/>
            </w:tcBorders>
            <w:vAlign w:val="bottom"/>
          </w:tcPr>
          <w:p w:rsidR="00055009" w:rsidRPr="008B53E5" w:rsidRDefault="00055009" w:rsidP="00223B6D">
            <w:pPr>
              <w:spacing w:line="276" w:lineRule="auto"/>
              <w:rPr>
                <w:sz w:val="20"/>
                <w:lang w:eastAsia="de-DE"/>
              </w:rPr>
            </w:pPr>
            <w:r w:rsidRPr="008B53E5">
              <w:rPr>
                <w:sz w:val="20"/>
                <w:lang w:eastAsia="de-DE"/>
              </w:rPr>
              <w:t>Debit</w:t>
            </w:r>
          </w:p>
        </w:tc>
        <w:tc>
          <w:tcPr>
            <w:tcW w:w="8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0.784</w:t>
            </w:r>
          </w:p>
        </w:tc>
        <w:tc>
          <w:tcPr>
            <w:tcW w:w="12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0.411</w:t>
            </w:r>
          </w:p>
        </w:tc>
        <w:tc>
          <w:tcPr>
            <w:tcW w:w="66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2090</w:t>
            </w:r>
          </w:p>
        </w:tc>
      </w:tr>
      <w:tr w:rsidR="00055009" w:rsidRPr="008B53E5" w:rsidTr="0040442C">
        <w:trPr>
          <w:trHeight w:val="284"/>
          <w:jc w:val="center"/>
        </w:trPr>
        <w:tc>
          <w:tcPr>
            <w:tcW w:w="1840" w:type="dxa"/>
            <w:tcBorders>
              <w:top w:val="nil"/>
              <w:left w:val="nil"/>
              <w:bottom w:val="nil"/>
              <w:right w:val="nil"/>
            </w:tcBorders>
            <w:vAlign w:val="bottom"/>
          </w:tcPr>
          <w:p w:rsidR="00055009" w:rsidRPr="008B53E5" w:rsidRDefault="00055009" w:rsidP="00223B6D">
            <w:pPr>
              <w:spacing w:line="276" w:lineRule="auto"/>
              <w:rPr>
                <w:sz w:val="20"/>
                <w:lang w:eastAsia="de-DE"/>
              </w:rPr>
            </w:pPr>
            <w:proofErr w:type="spellStart"/>
            <w:r w:rsidRPr="008B53E5">
              <w:rPr>
                <w:sz w:val="20"/>
                <w:lang w:eastAsia="de-DE"/>
              </w:rPr>
              <w:t>Credit</w:t>
            </w:r>
            <w:proofErr w:type="spellEnd"/>
            <w:r w:rsidRPr="008B53E5">
              <w:rPr>
                <w:sz w:val="20"/>
                <w:lang w:eastAsia="de-DE"/>
              </w:rPr>
              <w:t xml:space="preserve"> </w:t>
            </w:r>
            <w:proofErr w:type="spellStart"/>
            <w:r w:rsidRPr="008B53E5">
              <w:rPr>
                <w:sz w:val="20"/>
                <w:lang w:eastAsia="de-DE"/>
              </w:rPr>
              <w:t>Usage</w:t>
            </w:r>
            <w:proofErr w:type="spellEnd"/>
          </w:p>
        </w:tc>
        <w:tc>
          <w:tcPr>
            <w:tcW w:w="8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0.568</w:t>
            </w:r>
          </w:p>
        </w:tc>
        <w:tc>
          <w:tcPr>
            <w:tcW w:w="120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0.495</w:t>
            </w:r>
          </w:p>
        </w:tc>
        <w:tc>
          <w:tcPr>
            <w:tcW w:w="660" w:type="dxa"/>
            <w:tcBorders>
              <w:top w:val="nil"/>
              <w:left w:val="nil"/>
              <w:bottom w:val="nil"/>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2059</w:t>
            </w:r>
          </w:p>
        </w:tc>
      </w:tr>
      <w:tr w:rsidR="00055009" w:rsidRPr="008B53E5" w:rsidTr="0040442C">
        <w:trPr>
          <w:trHeight w:val="284"/>
          <w:jc w:val="center"/>
        </w:trPr>
        <w:tc>
          <w:tcPr>
            <w:tcW w:w="1840" w:type="dxa"/>
            <w:tcBorders>
              <w:top w:val="nil"/>
              <w:left w:val="nil"/>
              <w:bottom w:val="single" w:sz="8" w:space="0" w:color="auto"/>
              <w:right w:val="nil"/>
            </w:tcBorders>
            <w:vAlign w:val="bottom"/>
          </w:tcPr>
          <w:p w:rsidR="00055009" w:rsidRPr="008B53E5" w:rsidRDefault="00055009" w:rsidP="00223B6D">
            <w:pPr>
              <w:spacing w:line="276" w:lineRule="auto"/>
              <w:rPr>
                <w:sz w:val="20"/>
                <w:lang w:eastAsia="de-DE"/>
              </w:rPr>
            </w:pPr>
            <w:r w:rsidRPr="008B53E5">
              <w:rPr>
                <w:sz w:val="20"/>
                <w:lang w:eastAsia="de-DE"/>
              </w:rPr>
              <w:t xml:space="preserve">Debit </w:t>
            </w:r>
            <w:proofErr w:type="spellStart"/>
            <w:r w:rsidRPr="008B53E5">
              <w:rPr>
                <w:sz w:val="20"/>
                <w:lang w:eastAsia="de-DE"/>
              </w:rPr>
              <w:t>Usage</w:t>
            </w:r>
            <w:proofErr w:type="spellEnd"/>
          </w:p>
        </w:tc>
        <w:tc>
          <w:tcPr>
            <w:tcW w:w="80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0.631</w:t>
            </w:r>
          </w:p>
        </w:tc>
        <w:tc>
          <w:tcPr>
            <w:tcW w:w="120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0.483</w:t>
            </w:r>
          </w:p>
        </w:tc>
        <w:tc>
          <w:tcPr>
            <w:tcW w:w="660" w:type="dxa"/>
            <w:tcBorders>
              <w:top w:val="nil"/>
              <w:left w:val="nil"/>
              <w:bottom w:val="single" w:sz="8" w:space="0" w:color="auto"/>
              <w:right w:val="nil"/>
            </w:tcBorders>
            <w:vAlign w:val="bottom"/>
          </w:tcPr>
          <w:p w:rsidR="00055009" w:rsidRPr="008B53E5" w:rsidRDefault="00055009" w:rsidP="00223B6D">
            <w:pPr>
              <w:spacing w:line="276" w:lineRule="auto"/>
              <w:jc w:val="center"/>
              <w:rPr>
                <w:sz w:val="20"/>
                <w:lang w:eastAsia="de-DE"/>
              </w:rPr>
            </w:pPr>
            <w:r w:rsidRPr="008B53E5">
              <w:rPr>
                <w:sz w:val="20"/>
                <w:lang w:eastAsia="de-DE"/>
              </w:rPr>
              <w:t>2056</w:t>
            </w:r>
          </w:p>
        </w:tc>
      </w:tr>
    </w:tbl>
    <w:p w:rsidR="00512F1A" w:rsidRDefault="00055009" w:rsidP="00223B6D">
      <w:pPr>
        <w:pStyle w:val="Nzev"/>
        <w:spacing w:line="276" w:lineRule="auto"/>
        <w:rPr>
          <w:lang w:val="en-US" w:eastAsia="de-DE"/>
        </w:rPr>
      </w:pPr>
      <w:r>
        <w:rPr>
          <w:lang w:val="en-US" w:eastAsia="de-DE"/>
        </w:rPr>
        <w:t xml:space="preserve">Note: </w:t>
      </w:r>
      <w:r w:rsidRPr="00055009">
        <w:rPr>
          <w:lang w:val="en-US" w:eastAsia="de-DE"/>
        </w:rPr>
        <w:t xml:space="preserve">Usage describes the fact that respondents make the corresponding type of payment at least once in a typical month. </w:t>
      </w:r>
      <w:proofErr w:type="gramStart"/>
      <w:r w:rsidRPr="00055009">
        <w:rPr>
          <w:lang w:val="en-US" w:eastAsia="de-DE"/>
        </w:rPr>
        <w:t>Survey weights used.</w:t>
      </w:r>
      <w:proofErr w:type="gramEnd"/>
    </w:p>
    <w:p w:rsidR="00055009" w:rsidRPr="00512F1A" w:rsidRDefault="00055009"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t>To estimate the impact on spending, I ref</w:t>
      </w:r>
      <w:r w:rsidR="00D92DE3">
        <w:rPr>
          <w:lang w:val="en-US" w:eastAsia="de-DE"/>
        </w:rPr>
        <w:t>er to the exact number of specifi</w:t>
      </w:r>
      <w:r w:rsidRPr="00512F1A">
        <w:rPr>
          <w:lang w:val="en-US" w:eastAsia="de-DE"/>
        </w:rPr>
        <w:t>c card transactions (credit and debit cards) that an individual has conducted within a typical month distinguished by types of payment</w:t>
      </w:r>
      <w:r>
        <w:rPr>
          <w:lang w:val="en-US" w:eastAsia="de-DE"/>
        </w:rPr>
        <w:t xml:space="preserve"> at the POS, i.e. retail goods</w:t>
      </w:r>
      <w:r>
        <w:rPr>
          <w:rStyle w:val="Znakapoznpodarou"/>
          <w:lang w:val="en-US" w:eastAsia="de-DE"/>
        </w:rPr>
        <w:footnoteReference w:id="9"/>
      </w:r>
      <w:r>
        <w:rPr>
          <w:lang w:val="en-US" w:eastAsia="de-DE"/>
        </w:rPr>
        <w:t xml:space="preserve"> and services.</w:t>
      </w:r>
      <w:r>
        <w:rPr>
          <w:rStyle w:val="Znakapoznpodarou"/>
          <w:lang w:val="en-US" w:eastAsia="de-DE"/>
        </w:rPr>
        <w:footnoteReference w:id="10"/>
      </w:r>
      <w:r w:rsidRPr="00512F1A">
        <w:rPr>
          <w:lang w:val="en-US" w:eastAsia="de-DE"/>
        </w:rPr>
        <w:t xml:space="preserve"> Accuracy of reporting was ameliorated by asking respondents</w:t>
      </w:r>
      <w:r w:rsidR="004A323C">
        <w:rPr>
          <w:lang w:val="en-US" w:eastAsia="de-DE"/>
        </w:rPr>
        <w:t xml:space="preserve"> about</w:t>
      </w:r>
      <w:r w:rsidRPr="00512F1A">
        <w:rPr>
          <w:lang w:val="en-US" w:eastAsia="de-DE"/>
        </w:rPr>
        <w:t xml:space="preserve"> the number of payments for a typ</w:t>
      </w:r>
      <w:r w:rsidR="00D92DE3">
        <w:rPr>
          <w:lang w:val="en-US" w:eastAsia="de-DE"/>
        </w:rPr>
        <w:t>ical period rather than a specifi</w:t>
      </w:r>
      <w:r w:rsidRPr="00512F1A">
        <w:rPr>
          <w:lang w:val="en-US" w:eastAsia="de-DE"/>
        </w:rPr>
        <w:t>c calendar period. Typical periods shall represent an implicit average of their perceived regular or trend behavior and have the advantage of eliminat</w:t>
      </w:r>
      <w:r w:rsidR="00D92DE3">
        <w:rPr>
          <w:lang w:val="en-US" w:eastAsia="de-DE"/>
        </w:rPr>
        <w:t>ing unusual events that might aff</w:t>
      </w:r>
      <w:r w:rsidRPr="00512F1A">
        <w:rPr>
          <w:lang w:val="en-US" w:eastAsia="de-DE"/>
        </w:rPr>
        <w:t>ect high-frequency payments and veil longer-run trends. Also, respondents are allowed to choose the frequency (week, month or ye</w:t>
      </w:r>
      <w:r w:rsidR="00D92DE3">
        <w:rPr>
          <w:lang w:val="en-US" w:eastAsia="de-DE"/>
        </w:rPr>
        <w:t>ar) that best suits their recol</w:t>
      </w:r>
      <w:r w:rsidRPr="00512F1A">
        <w:rPr>
          <w:lang w:val="en-US" w:eastAsia="de-DE"/>
        </w:rPr>
        <w:t>lection of payments</w:t>
      </w:r>
      <w:r w:rsidR="00D92DE3">
        <w:rPr>
          <w:lang w:val="en-US" w:eastAsia="de-DE"/>
        </w:rPr>
        <w:t xml:space="preserve"> for each type of transaction (</w:t>
      </w:r>
      <w:r w:rsidRPr="00512F1A">
        <w:rPr>
          <w:lang w:val="en-US" w:eastAsia="de-DE"/>
        </w:rPr>
        <w:t xml:space="preserve">Foster et al., 2013). On the basis of the responses, the number of payments </w:t>
      </w:r>
      <w:r w:rsidR="00D92DE3">
        <w:rPr>
          <w:lang w:val="en-US" w:eastAsia="de-DE"/>
        </w:rPr>
        <w:t>was</w:t>
      </w:r>
      <w:r w:rsidRPr="00512F1A">
        <w:rPr>
          <w:lang w:val="en-US" w:eastAsia="de-DE"/>
        </w:rPr>
        <w:t xml:space="preserve"> calculated for a typical month</w:t>
      </w:r>
      <w:r w:rsidR="004A323C">
        <w:rPr>
          <w:lang w:val="en-US" w:eastAsia="de-DE"/>
        </w:rPr>
        <w:t xml:space="preserve"> and then</w:t>
      </w:r>
      <w:r w:rsidRPr="00512F1A">
        <w:rPr>
          <w:lang w:val="en-US" w:eastAsia="de-DE"/>
        </w:rPr>
        <w:t xml:space="preserve"> corrected for invalid data entries. Table 2 and 3 provide summary statistics on t</w:t>
      </w:r>
      <w:r w:rsidR="00D92DE3">
        <w:rPr>
          <w:lang w:val="en-US" w:eastAsia="de-DE"/>
        </w:rPr>
        <w:t>he number of transactions of diff</w:t>
      </w:r>
      <w:r w:rsidRPr="00512F1A">
        <w:rPr>
          <w:lang w:val="en-US" w:eastAsia="de-DE"/>
        </w:rPr>
        <w:t>erent payment types per month distinguished by contactless card adopters. Additionally, a simple m</w:t>
      </w:r>
      <w:r w:rsidR="00D92DE3">
        <w:rPr>
          <w:lang w:val="en-US" w:eastAsia="de-DE"/>
        </w:rPr>
        <w:t>ean comparison test (t-test) be</w:t>
      </w:r>
      <w:r w:rsidRPr="00512F1A">
        <w:rPr>
          <w:lang w:val="en-US" w:eastAsia="de-DE"/>
        </w:rPr>
        <w:t>tween non-innovators and innova</w:t>
      </w:r>
      <w:r w:rsidR="00D92DE3">
        <w:rPr>
          <w:lang w:val="en-US" w:eastAsia="de-DE"/>
        </w:rPr>
        <w:t>tors is reported</w:t>
      </w:r>
      <w:r w:rsidR="004A323C">
        <w:rPr>
          <w:lang w:val="en-US" w:eastAsia="de-DE"/>
        </w:rPr>
        <w:t>,</w:t>
      </w:r>
      <w:r w:rsidR="00D92DE3">
        <w:rPr>
          <w:lang w:val="en-US" w:eastAsia="de-DE"/>
        </w:rPr>
        <w:t xml:space="preserve"> showing (significant) diff</w:t>
      </w:r>
      <w:r w:rsidRPr="00512F1A">
        <w:rPr>
          <w:lang w:val="en-US" w:eastAsia="de-DE"/>
        </w:rPr>
        <w:t>erences in the average spending.</w:t>
      </w:r>
    </w:p>
    <w:p w:rsidR="00512F1A" w:rsidRPr="00512F1A" w:rsidRDefault="00512F1A"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As shown in Table 2, contactless credit card adopters undertake around 9 credit card payments more at the POS within a month th</w:t>
      </w:r>
      <w:r w:rsidR="003304E5">
        <w:rPr>
          <w:lang w:val="en-US" w:eastAsia="de-DE"/>
        </w:rPr>
        <w:t>an non-adopters (17 vs. 8 trans</w:t>
      </w:r>
      <w:r w:rsidRPr="00512F1A">
        <w:rPr>
          <w:lang w:val="en-US" w:eastAsia="de-DE"/>
        </w:rPr>
        <w:t xml:space="preserve">actions) with approximately 5 and 4 transactions more for retail goods and services, respectively (10 vs. 5 and 7 vs. 3 payments). These </w:t>
      </w:r>
      <w:r w:rsidR="001916DB">
        <w:rPr>
          <w:lang w:val="en-US" w:eastAsia="de-DE"/>
        </w:rPr>
        <w:t>means are signifi</w:t>
      </w:r>
      <w:r w:rsidRPr="00512F1A">
        <w:rPr>
          <w:lang w:val="en-US" w:eastAsia="de-DE"/>
        </w:rPr>
        <w:t>c</w:t>
      </w:r>
      <w:r w:rsidR="001916DB">
        <w:rPr>
          <w:lang w:val="en-US" w:eastAsia="de-DE"/>
        </w:rPr>
        <w:t>antly differ</w:t>
      </w:r>
      <w:r w:rsidRPr="00512F1A">
        <w:rPr>
          <w:lang w:val="en-US" w:eastAsia="de-DE"/>
        </w:rPr>
        <w:t>ent from each other indicating enhancement in payment frequency for innovators. This holds</w:t>
      </w:r>
      <w:r w:rsidR="004A323C">
        <w:rPr>
          <w:lang w:val="en-US" w:eastAsia="de-DE"/>
        </w:rPr>
        <w:t xml:space="preserve"> true</w:t>
      </w:r>
      <w:r w:rsidRPr="00512F1A">
        <w:rPr>
          <w:lang w:val="en-US" w:eastAsia="de-DE"/>
        </w:rPr>
        <w:t xml:space="preserve"> also for overall payment card statistics at the POS. Innovators on average</w:t>
      </w:r>
      <w:r w:rsidR="004A323C">
        <w:rPr>
          <w:lang w:val="en-US" w:eastAsia="de-DE"/>
        </w:rPr>
        <w:t xml:space="preserve"> pay</w:t>
      </w:r>
      <w:r w:rsidRPr="00512F1A">
        <w:rPr>
          <w:lang w:val="en-US" w:eastAsia="de-DE"/>
        </w:rPr>
        <w:t xml:space="preserve"> 31 times by payment cards at the POS</w:t>
      </w:r>
      <w:r w:rsidR="004A323C">
        <w:rPr>
          <w:lang w:val="en-US" w:eastAsia="de-DE"/>
        </w:rPr>
        <w:t xml:space="preserve"> per month</w:t>
      </w:r>
      <w:r w:rsidRPr="00512F1A">
        <w:rPr>
          <w:lang w:val="en-US" w:eastAsia="de-DE"/>
        </w:rPr>
        <w:t xml:space="preserve"> (18 retail and 13 services payments), while non-innovators conduct around 23 payments (14 retail and 19 se</w:t>
      </w:r>
      <w:r w:rsidR="001916DB">
        <w:rPr>
          <w:lang w:val="en-US" w:eastAsia="de-DE"/>
        </w:rPr>
        <w:t>rvices payments). These mean differences are highly signifi</w:t>
      </w:r>
      <w:r w:rsidRPr="00512F1A">
        <w:rPr>
          <w:lang w:val="en-US" w:eastAsia="de-DE"/>
        </w:rPr>
        <w:t>cant. On the contrary, contactless</w:t>
      </w:r>
      <w:r w:rsidR="001916DB">
        <w:rPr>
          <w:lang w:val="en-US" w:eastAsia="de-DE"/>
        </w:rPr>
        <w:t xml:space="preserve"> credit card adopters pay signifi</w:t>
      </w:r>
      <w:r w:rsidRPr="00512F1A">
        <w:rPr>
          <w:lang w:val="en-US" w:eastAsia="de-DE"/>
        </w:rPr>
        <w:t>cantly less frequently by cash for services (roughly 2 payments) than non-innovators.</w:t>
      </w:r>
    </w:p>
    <w:p w:rsidR="00D47A37" w:rsidRDefault="00D47A37" w:rsidP="00223B6D">
      <w:pPr>
        <w:spacing w:line="276" w:lineRule="auto"/>
        <w:rPr>
          <w:lang w:val="en-US" w:eastAsia="de-DE"/>
        </w:rPr>
      </w:pPr>
    </w:p>
    <w:p w:rsidR="007D72F8" w:rsidRDefault="007D72F8" w:rsidP="00223B6D">
      <w:pPr>
        <w:pStyle w:val="Titulek"/>
        <w:spacing w:line="276" w:lineRule="auto"/>
        <w:rPr>
          <w:lang w:val="en-US"/>
        </w:rPr>
      </w:pPr>
    </w:p>
    <w:p w:rsidR="00D47A37" w:rsidRDefault="00D47A37" w:rsidP="00223B6D">
      <w:pPr>
        <w:pStyle w:val="Titulek"/>
        <w:spacing w:line="276" w:lineRule="auto"/>
        <w:rPr>
          <w:lang w:val="en-US" w:eastAsia="de-DE"/>
        </w:rPr>
      </w:pPr>
      <w:r>
        <w:rPr>
          <w:lang w:val="en-US"/>
        </w:rPr>
        <w:lastRenderedPageBreak/>
        <w:t xml:space="preserve">Table </w:t>
      </w:r>
      <w:r w:rsidR="006A23B6">
        <w:rPr>
          <w:lang w:val="en-US"/>
        </w:rPr>
        <w:fldChar w:fldCharType="begin"/>
      </w:r>
      <w:r>
        <w:rPr>
          <w:lang w:val="en-US"/>
        </w:rPr>
        <w:instrText xml:space="preserve"> SEQ Table \* ARABIC </w:instrText>
      </w:r>
      <w:r w:rsidR="006A23B6">
        <w:rPr>
          <w:lang w:val="en-US"/>
        </w:rPr>
        <w:fldChar w:fldCharType="separate"/>
      </w:r>
      <w:r w:rsidR="00E45C4F">
        <w:rPr>
          <w:noProof/>
          <w:lang w:val="en-US"/>
        </w:rPr>
        <w:t>2</w:t>
      </w:r>
      <w:r w:rsidR="006A23B6">
        <w:rPr>
          <w:lang w:val="en-US"/>
        </w:rPr>
        <w:fldChar w:fldCharType="end"/>
      </w:r>
      <w:r w:rsidRPr="001139C0">
        <w:rPr>
          <w:lang w:val="en-US"/>
        </w:rPr>
        <w:t>: Number of Payment Types by Contactles</w:t>
      </w:r>
      <w:r>
        <w:rPr>
          <w:lang w:val="en-US"/>
        </w:rPr>
        <w:t>s Credit Card Adopters per Month</w:t>
      </w:r>
    </w:p>
    <w:tbl>
      <w:tblPr>
        <w:tblW w:w="8760" w:type="dxa"/>
        <w:jc w:val="center"/>
        <w:tblCellMar>
          <w:left w:w="70" w:type="dxa"/>
          <w:right w:w="70" w:type="dxa"/>
        </w:tblCellMar>
        <w:tblLook w:val="04A0"/>
      </w:tblPr>
      <w:tblGrid>
        <w:gridCol w:w="2201"/>
        <w:gridCol w:w="640"/>
        <w:gridCol w:w="920"/>
        <w:gridCol w:w="740"/>
        <w:gridCol w:w="560"/>
        <w:gridCol w:w="635"/>
        <w:gridCol w:w="854"/>
        <w:gridCol w:w="735"/>
        <w:gridCol w:w="455"/>
        <w:gridCol w:w="1020"/>
      </w:tblGrid>
      <w:tr w:rsidR="006923F4" w:rsidRPr="006923F4" w:rsidTr="00D47A37">
        <w:trPr>
          <w:trHeight w:val="315"/>
          <w:jc w:val="center"/>
        </w:trPr>
        <w:tc>
          <w:tcPr>
            <w:tcW w:w="2201" w:type="dxa"/>
            <w:tcBorders>
              <w:top w:val="nil"/>
              <w:left w:val="nil"/>
              <w:bottom w:val="single" w:sz="8" w:space="0" w:color="115C2E"/>
              <w:right w:val="single" w:sz="8" w:space="0" w:color="auto"/>
            </w:tcBorders>
            <w:shd w:val="clear" w:color="auto" w:fill="auto"/>
            <w:vAlign w:val="center"/>
            <w:hideMark/>
          </w:tcPr>
          <w:p w:rsidR="006923F4" w:rsidRPr="006923F4" w:rsidRDefault="006923F4" w:rsidP="00223B6D">
            <w:pPr>
              <w:spacing w:line="276" w:lineRule="auto"/>
              <w:rPr>
                <w:rFonts w:eastAsia="Times New Roman" w:cs="Times New Roman"/>
                <w:color w:val="000000"/>
                <w:sz w:val="20"/>
                <w:lang w:val="en-US" w:eastAsia="de-CH"/>
              </w:rPr>
            </w:pPr>
            <w:r w:rsidRPr="006923F4">
              <w:rPr>
                <w:rFonts w:eastAsia="Times New Roman" w:cs="Times New Roman"/>
                <w:color w:val="000000"/>
                <w:sz w:val="20"/>
                <w:lang w:val="en-US" w:eastAsia="de-CH"/>
              </w:rPr>
              <w:t> </w:t>
            </w:r>
          </w:p>
        </w:tc>
        <w:tc>
          <w:tcPr>
            <w:tcW w:w="2860" w:type="dxa"/>
            <w:gridSpan w:val="4"/>
            <w:tcBorders>
              <w:top w:val="nil"/>
              <w:left w:val="nil"/>
              <w:bottom w:val="single" w:sz="8" w:space="0" w:color="115C2E"/>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Non-Innovator</w:t>
            </w:r>
          </w:p>
        </w:tc>
        <w:tc>
          <w:tcPr>
            <w:tcW w:w="2679" w:type="dxa"/>
            <w:gridSpan w:val="4"/>
            <w:tcBorders>
              <w:top w:val="nil"/>
              <w:left w:val="single" w:sz="8" w:space="0" w:color="auto"/>
              <w:bottom w:val="single" w:sz="8" w:space="0" w:color="115C2E"/>
              <w:right w:val="single" w:sz="4" w:space="0" w:color="000000"/>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Innovator</w:t>
            </w:r>
          </w:p>
        </w:tc>
        <w:tc>
          <w:tcPr>
            <w:tcW w:w="1020" w:type="dxa"/>
            <w:tcBorders>
              <w:top w:val="nil"/>
              <w:left w:val="nil"/>
              <w:bottom w:val="single" w:sz="8" w:space="0" w:color="115C2E"/>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t-Test</w:t>
            </w:r>
          </w:p>
        </w:tc>
      </w:tr>
      <w:tr w:rsidR="006923F4" w:rsidRPr="00064E19" w:rsidTr="00D47A37">
        <w:trPr>
          <w:trHeight w:val="315"/>
          <w:jc w:val="center"/>
        </w:trPr>
        <w:tc>
          <w:tcPr>
            <w:tcW w:w="2201" w:type="dxa"/>
            <w:tcBorders>
              <w:top w:val="nil"/>
              <w:left w:val="nil"/>
              <w:bottom w:val="single" w:sz="8" w:space="0" w:color="auto"/>
              <w:right w:val="single" w:sz="8" w:space="0" w:color="auto"/>
            </w:tcBorders>
            <w:shd w:val="clear" w:color="auto" w:fill="auto"/>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eastAsia="de-CH"/>
              </w:rPr>
              <w:t>Variable</w:t>
            </w:r>
          </w:p>
        </w:tc>
        <w:tc>
          <w:tcPr>
            <w:tcW w:w="640" w:type="dxa"/>
            <w:tcBorders>
              <w:top w:val="nil"/>
              <w:left w:val="nil"/>
              <w:bottom w:val="single" w:sz="8" w:space="0" w:color="auto"/>
              <w:right w:val="nil"/>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proofErr w:type="spellStart"/>
            <w:r w:rsidRPr="006923F4">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 xml:space="preserve">Std. </w:t>
            </w:r>
            <w:proofErr w:type="spellStart"/>
            <w:r w:rsidRPr="006923F4">
              <w:rPr>
                <w:rFonts w:eastAsia="Times New Roman" w:cs="Times New Roman"/>
                <w:color w:val="000000"/>
                <w:sz w:val="20"/>
                <w:lang w:eastAsia="de-CH"/>
              </w:rPr>
              <w:t>Dev</w:t>
            </w:r>
            <w:proofErr w:type="spellEnd"/>
            <w:r w:rsidRPr="006923F4">
              <w:rPr>
                <w:rFonts w:eastAsia="Times New Roman" w:cs="Times New Roman"/>
                <w:color w:val="000000"/>
                <w:sz w:val="20"/>
                <w:lang w:eastAsia="de-CH"/>
              </w:rPr>
              <w:t>.</w:t>
            </w:r>
          </w:p>
        </w:tc>
        <w:tc>
          <w:tcPr>
            <w:tcW w:w="740" w:type="dxa"/>
            <w:tcBorders>
              <w:top w:val="nil"/>
              <w:left w:val="nil"/>
              <w:bottom w:val="single" w:sz="8" w:space="0" w:color="auto"/>
              <w:right w:val="nil"/>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Max.</w:t>
            </w:r>
          </w:p>
        </w:tc>
        <w:tc>
          <w:tcPr>
            <w:tcW w:w="560" w:type="dxa"/>
            <w:tcBorders>
              <w:top w:val="nil"/>
              <w:left w:val="nil"/>
              <w:bottom w:val="single" w:sz="8" w:space="0" w:color="auto"/>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N</w:t>
            </w:r>
          </w:p>
        </w:tc>
        <w:tc>
          <w:tcPr>
            <w:tcW w:w="635"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proofErr w:type="spellStart"/>
            <w:r w:rsidRPr="006923F4">
              <w:rPr>
                <w:rFonts w:eastAsia="Times New Roman" w:cs="Times New Roman"/>
                <w:color w:val="000000"/>
                <w:sz w:val="20"/>
                <w:lang w:eastAsia="de-CH"/>
              </w:rPr>
              <w:t>Mean</w:t>
            </w:r>
            <w:proofErr w:type="spellEnd"/>
          </w:p>
        </w:tc>
        <w:tc>
          <w:tcPr>
            <w:tcW w:w="854" w:type="dxa"/>
            <w:tcBorders>
              <w:top w:val="nil"/>
              <w:left w:val="nil"/>
              <w:bottom w:val="single" w:sz="8" w:space="0" w:color="auto"/>
              <w:right w:val="nil"/>
            </w:tcBorders>
            <w:shd w:val="clear" w:color="auto" w:fill="auto"/>
            <w:vAlign w:val="center"/>
            <w:hideMark/>
          </w:tcPr>
          <w:p w:rsidR="006923F4" w:rsidRPr="00064E19" w:rsidRDefault="006923F4" w:rsidP="00223B6D">
            <w:pPr>
              <w:spacing w:line="276" w:lineRule="auto"/>
              <w:ind w:right="-169"/>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Std.</w:t>
            </w:r>
            <w:r w:rsidR="00064E19" w:rsidRPr="00064E19">
              <w:rPr>
                <w:rFonts w:eastAsia="Times New Roman" w:cs="Times New Roman"/>
                <w:color w:val="000000"/>
                <w:sz w:val="20"/>
                <w:lang w:val="en-US" w:eastAsia="de-CH"/>
              </w:rPr>
              <w:t xml:space="preserve"> </w:t>
            </w:r>
            <w:r w:rsidRPr="00064E19">
              <w:rPr>
                <w:rFonts w:eastAsia="Times New Roman" w:cs="Times New Roman"/>
                <w:color w:val="000000"/>
                <w:sz w:val="20"/>
                <w:lang w:val="en-US" w:eastAsia="de-CH"/>
              </w:rPr>
              <w:t>Dev.</w:t>
            </w:r>
          </w:p>
        </w:tc>
        <w:tc>
          <w:tcPr>
            <w:tcW w:w="735" w:type="dxa"/>
            <w:tcBorders>
              <w:top w:val="nil"/>
              <w:left w:val="nil"/>
              <w:bottom w:val="single" w:sz="8" w:space="0" w:color="auto"/>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Max.</w:t>
            </w:r>
          </w:p>
        </w:tc>
        <w:tc>
          <w:tcPr>
            <w:tcW w:w="455" w:type="dxa"/>
            <w:tcBorders>
              <w:top w:val="nil"/>
              <w:left w:val="nil"/>
              <w:bottom w:val="single" w:sz="8" w:space="0" w:color="auto"/>
              <w:right w:val="single" w:sz="8" w:space="0" w:color="auto"/>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N</w:t>
            </w:r>
          </w:p>
        </w:tc>
        <w:tc>
          <w:tcPr>
            <w:tcW w:w="1020" w:type="dxa"/>
            <w:tcBorders>
              <w:top w:val="nil"/>
              <w:left w:val="nil"/>
              <w:bottom w:val="single" w:sz="8" w:space="0" w:color="auto"/>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Mean Diff</w:t>
            </w:r>
          </w:p>
        </w:tc>
      </w:tr>
      <w:tr w:rsidR="006923F4" w:rsidRPr="00064E19"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064E19" w:rsidRDefault="006923F4" w:rsidP="00223B6D">
            <w:pPr>
              <w:spacing w:line="276" w:lineRule="auto"/>
              <w:jc w:val="left"/>
              <w:rPr>
                <w:rFonts w:eastAsia="Times New Roman" w:cs="Times New Roman"/>
                <w:color w:val="000000"/>
                <w:sz w:val="20"/>
                <w:lang w:val="en-US" w:eastAsia="de-CH"/>
              </w:rPr>
            </w:pPr>
            <w:r w:rsidRPr="006923F4">
              <w:rPr>
                <w:rFonts w:eastAsia="Times New Roman" w:cs="Times New Roman"/>
                <w:color w:val="000000"/>
                <w:sz w:val="20"/>
                <w:lang w:val="en-US" w:eastAsia="de-CH"/>
              </w:rPr>
              <w:t>CC POS</w:t>
            </w:r>
          </w:p>
        </w:tc>
        <w:tc>
          <w:tcPr>
            <w:tcW w:w="64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8.36</w:t>
            </w:r>
          </w:p>
        </w:tc>
        <w:tc>
          <w:tcPr>
            <w:tcW w:w="92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16.61</w:t>
            </w:r>
          </w:p>
        </w:tc>
        <w:tc>
          <w:tcPr>
            <w:tcW w:w="74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117.4</w:t>
            </w:r>
          </w:p>
        </w:tc>
        <w:tc>
          <w:tcPr>
            <w:tcW w:w="560" w:type="dxa"/>
            <w:tcBorders>
              <w:top w:val="nil"/>
              <w:left w:val="nil"/>
              <w:bottom w:val="nil"/>
              <w:right w:val="single" w:sz="8" w:space="0" w:color="auto"/>
            </w:tcBorders>
            <w:shd w:val="clear" w:color="auto" w:fill="auto"/>
            <w:noWrap/>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1869</w:t>
            </w:r>
          </w:p>
        </w:tc>
        <w:tc>
          <w:tcPr>
            <w:tcW w:w="635"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17.1</w:t>
            </w:r>
          </w:p>
        </w:tc>
        <w:tc>
          <w:tcPr>
            <w:tcW w:w="854"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25.44</w:t>
            </w:r>
          </w:p>
        </w:tc>
        <w:tc>
          <w:tcPr>
            <w:tcW w:w="735"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108.71</w:t>
            </w:r>
          </w:p>
        </w:tc>
        <w:tc>
          <w:tcPr>
            <w:tcW w:w="455" w:type="dxa"/>
            <w:tcBorders>
              <w:top w:val="nil"/>
              <w:left w:val="nil"/>
              <w:bottom w:val="nil"/>
              <w:right w:val="single" w:sz="8" w:space="0" w:color="auto"/>
            </w:tcBorders>
            <w:shd w:val="clear" w:color="auto" w:fill="auto"/>
            <w:noWrap/>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064E19">
              <w:rPr>
                <w:rFonts w:eastAsia="Times New Roman" w:cs="Times New Roman"/>
                <w:color w:val="000000"/>
                <w:sz w:val="20"/>
                <w:lang w:val="en-US" w:eastAsia="de-CH"/>
              </w:rPr>
              <w:t>188</w:t>
            </w:r>
          </w:p>
        </w:tc>
        <w:tc>
          <w:tcPr>
            <w:tcW w:w="102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−8.67***</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064E19" w:rsidRDefault="006923F4" w:rsidP="00223B6D">
            <w:pPr>
              <w:spacing w:line="276" w:lineRule="auto"/>
              <w:jc w:val="left"/>
              <w:rPr>
                <w:rFonts w:eastAsia="Times New Roman" w:cs="Times New Roman"/>
                <w:color w:val="000000"/>
                <w:sz w:val="20"/>
                <w:lang w:val="en-US" w:eastAsia="de-CH"/>
              </w:rPr>
            </w:pPr>
            <w:r w:rsidRPr="006923F4">
              <w:rPr>
                <w:rFonts w:eastAsia="Times New Roman" w:cs="Times New Roman"/>
                <w:color w:val="000000"/>
                <w:sz w:val="20"/>
                <w:lang w:val="en-US" w:eastAsia="de-CH"/>
              </w:rPr>
              <w:t xml:space="preserve">   CC Retail</w:t>
            </w:r>
          </w:p>
        </w:tc>
        <w:tc>
          <w:tcPr>
            <w:tcW w:w="64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4.99</w:t>
            </w:r>
          </w:p>
        </w:tc>
        <w:tc>
          <w:tcPr>
            <w:tcW w:w="92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10.72</w:t>
            </w:r>
          </w:p>
        </w:tc>
        <w:tc>
          <w:tcPr>
            <w:tcW w:w="740"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100</w:t>
            </w:r>
          </w:p>
        </w:tc>
        <w:tc>
          <w:tcPr>
            <w:tcW w:w="560" w:type="dxa"/>
            <w:tcBorders>
              <w:top w:val="nil"/>
              <w:left w:val="nil"/>
              <w:bottom w:val="nil"/>
              <w:right w:val="single" w:sz="8" w:space="0" w:color="auto"/>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1851</w:t>
            </w:r>
          </w:p>
        </w:tc>
        <w:tc>
          <w:tcPr>
            <w:tcW w:w="635"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9.81</w:t>
            </w:r>
          </w:p>
        </w:tc>
        <w:tc>
          <w:tcPr>
            <w:tcW w:w="854" w:type="dxa"/>
            <w:tcBorders>
              <w:top w:val="nil"/>
              <w:left w:val="nil"/>
              <w:bottom w:val="nil"/>
              <w:right w:val="nil"/>
            </w:tcBorders>
            <w:shd w:val="clear" w:color="auto" w:fill="auto"/>
            <w:vAlign w:val="center"/>
            <w:hideMark/>
          </w:tcPr>
          <w:p w:rsidR="006923F4" w:rsidRPr="00064E19" w:rsidRDefault="006923F4" w:rsidP="00223B6D">
            <w:pPr>
              <w:spacing w:line="276" w:lineRule="auto"/>
              <w:jc w:val="center"/>
              <w:rPr>
                <w:rFonts w:eastAsia="Times New Roman" w:cs="Times New Roman"/>
                <w:color w:val="000000"/>
                <w:sz w:val="20"/>
                <w:lang w:val="en-US" w:eastAsia="de-CH"/>
              </w:rPr>
            </w:pPr>
            <w:r w:rsidRPr="006923F4">
              <w:rPr>
                <w:rFonts w:eastAsia="Times New Roman" w:cs="Times New Roman"/>
                <w:color w:val="000000"/>
                <w:sz w:val="20"/>
                <w:lang w:val="en-US" w:eastAsia="de-CH"/>
              </w:rPr>
              <w:t>14.83</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65.22</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188</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−4.67***</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CC Services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3.45</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7.61</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95.66</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1849</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7.39</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12.34</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86.96</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186</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−3.99***</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DC POS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15.09</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23.03</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139.14</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1868</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14.52</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24.14</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130.45</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185</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0.67</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DC Retail</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9.22</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15.13</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108.71</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1857</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8.59</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15.37</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86.97</w:t>
            </w:r>
          </w:p>
        </w:tc>
        <w:tc>
          <w:tcPr>
            <w:tcW w:w="455"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184</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0.67</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DC Services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6.06</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10.49</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100</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1834</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5.95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10.58</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43.48</w:t>
            </w:r>
          </w:p>
        </w:tc>
        <w:tc>
          <w:tcPr>
            <w:tcW w:w="455"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185</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0.00</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SVC POS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0.39</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1.81</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20</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1849</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0.21</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1.1</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12</w:t>
            </w:r>
          </w:p>
        </w:tc>
        <w:tc>
          <w:tcPr>
            <w:tcW w:w="455"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183</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0.18</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SVC Retail</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0.24</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1.26</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20</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1843</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0.15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0.87</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w:t>
            </w:r>
          </w:p>
        </w:tc>
        <w:tc>
          <w:tcPr>
            <w:tcW w:w="455"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182</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0.08</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SVC Services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0.15</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0.77</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8.69</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1839</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0.06</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0.31</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w:t>
            </w:r>
          </w:p>
        </w:tc>
        <w:tc>
          <w:tcPr>
            <w:tcW w:w="455"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181</w:t>
            </w:r>
          </w:p>
        </w:tc>
        <w:tc>
          <w:tcPr>
            <w:tcW w:w="1020" w:type="dxa"/>
            <w:tcBorders>
              <w:top w:val="nil"/>
              <w:left w:val="nil"/>
              <w:bottom w:val="nil"/>
              <w:right w:val="nil"/>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0.09*</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Overall Card POS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23.61</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26.72</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165.22</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1886</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30.77</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35.48</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173.93</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190</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−7.82**</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Overall Card Retail</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14.21</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17.57</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109.71</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1884</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17.9</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21.27</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108.71</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190</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−3.92*</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Overall Card Services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9.41</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12.4</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105</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1884</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13.01</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16.91</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86.96</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189</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−3.90**</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Cash POS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16.56</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19.26</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130.45</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1881</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14.05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17.87</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108.71</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187</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3.01</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Cash Retail</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9.52</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12.72</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100</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1822</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8.38</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11.65</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65.22</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185</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1.07</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Cash Services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7.27</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9.91</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86.96</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1813</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5.75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8.66</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43.48</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185</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1.95**</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Total POS</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42.84</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38.24</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245.5</w:t>
            </w:r>
          </w:p>
        </w:tc>
        <w:tc>
          <w:tcPr>
            <w:tcW w:w="560" w:type="dxa"/>
            <w:tcBorders>
              <w:top w:val="nil"/>
              <w:left w:val="nil"/>
              <w:bottom w:val="nil"/>
              <w:right w:val="single" w:sz="8" w:space="0" w:color="auto"/>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1893</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47.05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42.87</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217.41</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191</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−4.62</w:t>
            </w:r>
          </w:p>
        </w:tc>
      </w:tr>
      <w:tr w:rsidR="006923F4" w:rsidRPr="006923F4" w:rsidTr="00D47A37">
        <w:trPr>
          <w:trHeight w:val="300"/>
          <w:jc w:val="center"/>
        </w:trPr>
        <w:tc>
          <w:tcPr>
            <w:tcW w:w="2201"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Total Retail</w:t>
            </w:r>
          </w:p>
        </w:tc>
        <w:tc>
          <w:tcPr>
            <w:tcW w:w="6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24.91</w:t>
            </w:r>
          </w:p>
        </w:tc>
        <w:tc>
          <w:tcPr>
            <w:tcW w:w="9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24.19</w:t>
            </w:r>
          </w:p>
        </w:tc>
        <w:tc>
          <w:tcPr>
            <w:tcW w:w="74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153.19</w:t>
            </w:r>
          </w:p>
        </w:tc>
        <w:tc>
          <w:tcPr>
            <w:tcW w:w="560"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1893</w:t>
            </w:r>
          </w:p>
        </w:tc>
        <w:tc>
          <w:tcPr>
            <w:tcW w:w="6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27.25</w:t>
            </w:r>
          </w:p>
        </w:tc>
        <w:tc>
          <w:tcPr>
            <w:tcW w:w="854"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26.31</w:t>
            </w:r>
          </w:p>
        </w:tc>
        <w:tc>
          <w:tcPr>
            <w:tcW w:w="735"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148.84</w:t>
            </w:r>
          </w:p>
        </w:tc>
        <w:tc>
          <w:tcPr>
            <w:tcW w:w="455" w:type="dxa"/>
            <w:tcBorders>
              <w:top w:val="nil"/>
              <w:left w:val="nil"/>
              <w:bottom w:val="nil"/>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191</w:t>
            </w:r>
          </w:p>
        </w:tc>
        <w:tc>
          <w:tcPr>
            <w:tcW w:w="1020" w:type="dxa"/>
            <w:tcBorders>
              <w:top w:val="nil"/>
              <w:left w:val="nil"/>
              <w:bottom w:val="nil"/>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−2.75</w:t>
            </w:r>
          </w:p>
        </w:tc>
      </w:tr>
      <w:tr w:rsidR="006923F4" w:rsidRPr="006923F4" w:rsidTr="00D47A37">
        <w:trPr>
          <w:trHeight w:val="315"/>
          <w:jc w:val="center"/>
        </w:trPr>
        <w:tc>
          <w:tcPr>
            <w:tcW w:w="2201" w:type="dxa"/>
            <w:tcBorders>
              <w:top w:val="nil"/>
              <w:left w:val="nil"/>
              <w:bottom w:val="single" w:sz="8" w:space="0" w:color="auto"/>
              <w:right w:val="single" w:sz="8" w:space="0" w:color="auto"/>
            </w:tcBorders>
            <w:shd w:val="clear" w:color="auto" w:fill="auto"/>
            <w:noWrap/>
            <w:vAlign w:val="center"/>
            <w:hideMark/>
          </w:tcPr>
          <w:p w:rsidR="006923F4" w:rsidRPr="006923F4" w:rsidRDefault="006923F4" w:rsidP="00223B6D">
            <w:pPr>
              <w:spacing w:line="276" w:lineRule="auto"/>
              <w:jc w:val="left"/>
              <w:rPr>
                <w:rFonts w:eastAsia="Times New Roman" w:cs="Times New Roman"/>
                <w:color w:val="000000"/>
                <w:sz w:val="20"/>
                <w:lang w:eastAsia="de-CH"/>
              </w:rPr>
            </w:pPr>
            <w:r w:rsidRPr="006923F4">
              <w:rPr>
                <w:rFonts w:eastAsia="Times New Roman" w:cs="Times New Roman"/>
                <w:color w:val="000000"/>
                <w:sz w:val="20"/>
                <w:lang w:val="en-US" w:eastAsia="de-CH"/>
              </w:rPr>
              <w:t xml:space="preserve">   Total Services</w:t>
            </w:r>
          </w:p>
        </w:tc>
        <w:tc>
          <w:tcPr>
            <w:tcW w:w="640"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17.93</w:t>
            </w:r>
          </w:p>
        </w:tc>
        <w:tc>
          <w:tcPr>
            <w:tcW w:w="920"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19.32</w:t>
            </w:r>
          </w:p>
        </w:tc>
        <w:tc>
          <w:tcPr>
            <w:tcW w:w="740"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158</w:t>
            </w:r>
          </w:p>
        </w:tc>
        <w:tc>
          <w:tcPr>
            <w:tcW w:w="560" w:type="dxa"/>
            <w:tcBorders>
              <w:top w:val="nil"/>
              <w:left w:val="nil"/>
              <w:bottom w:val="single" w:sz="8" w:space="0" w:color="auto"/>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1893</w:t>
            </w:r>
          </w:p>
        </w:tc>
        <w:tc>
          <w:tcPr>
            <w:tcW w:w="635"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19.8</w:t>
            </w:r>
          </w:p>
        </w:tc>
        <w:tc>
          <w:tcPr>
            <w:tcW w:w="854"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20.41</w:t>
            </w:r>
          </w:p>
        </w:tc>
        <w:tc>
          <w:tcPr>
            <w:tcW w:w="735"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val="en-US" w:eastAsia="de-CH"/>
              </w:rPr>
              <w:t>91.73</w:t>
            </w:r>
          </w:p>
        </w:tc>
        <w:tc>
          <w:tcPr>
            <w:tcW w:w="455" w:type="dxa"/>
            <w:tcBorders>
              <w:top w:val="nil"/>
              <w:left w:val="nil"/>
              <w:bottom w:val="single" w:sz="8" w:space="0" w:color="auto"/>
              <w:right w:val="single" w:sz="8" w:space="0" w:color="auto"/>
            </w:tcBorders>
            <w:shd w:val="clear" w:color="auto" w:fill="auto"/>
            <w:noWrap/>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191</w:t>
            </w:r>
          </w:p>
        </w:tc>
        <w:tc>
          <w:tcPr>
            <w:tcW w:w="1020" w:type="dxa"/>
            <w:tcBorders>
              <w:top w:val="nil"/>
              <w:left w:val="nil"/>
              <w:bottom w:val="single" w:sz="8" w:space="0" w:color="auto"/>
              <w:right w:val="nil"/>
            </w:tcBorders>
            <w:shd w:val="clear" w:color="auto" w:fill="auto"/>
            <w:vAlign w:val="center"/>
            <w:hideMark/>
          </w:tcPr>
          <w:p w:rsidR="006923F4" w:rsidRPr="006923F4" w:rsidRDefault="006923F4" w:rsidP="00223B6D">
            <w:pPr>
              <w:spacing w:line="276" w:lineRule="auto"/>
              <w:jc w:val="center"/>
              <w:rPr>
                <w:rFonts w:eastAsia="Times New Roman" w:cs="Times New Roman"/>
                <w:color w:val="000000"/>
                <w:sz w:val="20"/>
                <w:lang w:eastAsia="de-CH"/>
              </w:rPr>
            </w:pPr>
            <w:r w:rsidRPr="006923F4">
              <w:rPr>
                <w:rFonts w:eastAsia="Times New Roman" w:cs="Times New Roman"/>
                <w:color w:val="000000"/>
                <w:sz w:val="20"/>
                <w:lang w:eastAsia="de-CH"/>
              </w:rPr>
              <w:t>−1.87</w:t>
            </w:r>
          </w:p>
        </w:tc>
      </w:tr>
    </w:tbl>
    <w:p w:rsidR="00512F1A" w:rsidRDefault="001139C0" w:rsidP="00223B6D">
      <w:pPr>
        <w:pStyle w:val="Nzev"/>
        <w:spacing w:line="276" w:lineRule="auto"/>
        <w:rPr>
          <w:lang w:val="en-US" w:eastAsia="de-DE"/>
        </w:rPr>
      </w:pPr>
      <w:r w:rsidRPr="001139C0">
        <w:rPr>
          <w:lang w:val="en-US" w:eastAsia="de-DE"/>
        </w:rPr>
        <w:t>Note: Survey weights used. Subcategories do not sum to main category due to rounding and weighting. For brevity, the minimum is dropped but equals zero for every typ</w:t>
      </w:r>
      <w:r w:rsidR="001E7131">
        <w:rPr>
          <w:lang w:val="en-US" w:eastAsia="de-DE"/>
        </w:rPr>
        <w:t xml:space="preserve">e of payment. </w:t>
      </w:r>
      <w:proofErr w:type="gramStart"/>
      <w:r w:rsidR="001E7131">
        <w:rPr>
          <w:lang w:val="en-US" w:eastAsia="de-DE"/>
        </w:rPr>
        <w:t>T-test of mean diff</w:t>
      </w:r>
      <w:r w:rsidRPr="001139C0">
        <w:rPr>
          <w:lang w:val="en-US" w:eastAsia="de-DE"/>
        </w:rPr>
        <w:t>erences of innovator</w:t>
      </w:r>
      <w:r w:rsidR="008F2F5D">
        <w:rPr>
          <w:lang w:val="en-US" w:eastAsia="de-DE"/>
        </w:rPr>
        <w:t xml:space="preserve"> and non-innovator.</w:t>
      </w:r>
      <w:proofErr w:type="gramEnd"/>
      <w:r w:rsidR="008F2F5D">
        <w:rPr>
          <w:lang w:val="en-US" w:eastAsia="de-DE"/>
        </w:rPr>
        <w:t xml:space="preserve"> They can diff</w:t>
      </w:r>
      <w:r w:rsidRPr="001139C0">
        <w:rPr>
          <w:lang w:val="en-US" w:eastAsia="de-DE"/>
        </w:rPr>
        <w:t>er from true values due t</w:t>
      </w:r>
      <w:r w:rsidR="001E7131">
        <w:rPr>
          <w:lang w:val="en-US" w:eastAsia="de-DE"/>
        </w:rPr>
        <w:t xml:space="preserve">o rounding and weighting. </w:t>
      </w:r>
      <w:proofErr w:type="gramStart"/>
      <w:r w:rsidR="001E7131">
        <w:rPr>
          <w:lang w:val="en-US" w:eastAsia="de-DE"/>
        </w:rPr>
        <w:t>Signifi</w:t>
      </w:r>
      <w:r w:rsidRPr="001139C0">
        <w:rPr>
          <w:lang w:val="en-US" w:eastAsia="de-DE"/>
        </w:rPr>
        <w:t>cance levels 1% ***, 5% ** and 10% *.</w:t>
      </w:r>
      <w:proofErr w:type="gramEnd"/>
      <w:r w:rsidRPr="001139C0">
        <w:rPr>
          <w:lang w:val="en-US" w:eastAsia="de-DE"/>
        </w:rPr>
        <w:t xml:space="preserve"> CC represents credit cards, DC debit cards and SVC stored-value cards. Overall card payments are the sum of CC, DC and SVC payments. Total </w:t>
      </w:r>
      <w:r w:rsidR="00D52B5B">
        <w:rPr>
          <w:lang w:val="en-US" w:eastAsia="de-DE"/>
        </w:rPr>
        <w:t>point-of-sale (</w:t>
      </w:r>
      <w:r w:rsidRPr="001139C0">
        <w:rPr>
          <w:lang w:val="en-US" w:eastAsia="de-DE"/>
        </w:rPr>
        <w:t>POS</w:t>
      </w:r>
      <w:r w:rsidR="00D52B5B">
        <w:rPr>
          <w:lang w:val="en-US" w:eastAsia="de-DE"/>
        </w:rPr>
        <w:t>)</w:t>
      </w:r>
      <w:r w:rsidRPr="001139C0">
        <w:rPr>
          <w:lang w:val="en-US" w:eastAsia="de-DE"/>
        </w:rPr>
        <w:t xml:space="preserve"> payments are the sum of overall card POS payments, cash POS payments plus check and money order payments.</w:t>
      </w:r>
    </w:p>
    <w:p w:rsidR="001139C0" w:rsidRDefault="001139C0"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t xml:space="preserve">Table 3 distinguishes the number of transactions by contactless debit card adopters and non-adopters. Mean comparison tests between adopters and non-adopters </w:t>
      </w:r>
      <w:r w:rsidR="001916DB">
        <w:rPr>
          <w:lang w:val="en-US" w:eastAsia="de-DE"/>
        </w:rPr>
        <w:t>reveal that statistically significant diff</w:t>
      </w:r>
      <w:r w:rsidRPr="00512F1A">
        <w:rPr>
          <w:lang w:val="en-US" w:eastAsia="de-DE"/>
        </w:rPr>
        <w:t>erences in the transaction frequency exist. Innovators buy goods and services at the POS by debit cards more frequently than non-innovators, namely 4 and 6 transactions more within a month (13 vs. 9 and 11 vs. 5 payments, respectively). Also, their overall card and total POS payments for services exceed those of non-adopt</w:t>
      </w:r>
      <w:r w:rsidR="001916DB">
        <w:rPr>
          <w:lang w:val="en-US" w:eastAsia="de-DE"/>
        </w:rPr>
        <w:t>ers by 4 and 6 transactions, re</w:t>
      </w:r>
      <w:r w:rsidRPr="00512F1A">
        <w:rPr>
          <w:lang w:val="en-US" w:eastAsia="de-DE"/>
        </w:rPr>
        <w:t>spectively. In contrast, they transact 5 payments fewer by credit cards at the POS (4 vs. 10 transactions) than non-innovators.</w:t>
      </w:r>
    </w:p>
    <w:p w:rsidR="003304E5" w:rsidRDefault="003304E5"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B21376" w:rsidRPr="00B21376" w:rsidRDefault="009F2BD3" w:rsidP="00223B6D">
      <w:pPr>
        <w:pStyle w:val="Titulek"/>
        <w:spacing w:line="276" w:lineRule="auto"/>
        <w:rPr>
          <w:lang w:val="en-US" w:eastAsia="de-DE"/>
        </w:rPr>
      </w:pPr>
      <w:r w:rsidRPr="009F2BD3">
        <w:rPr>
          <w:lang w:val="en-US"/>
        </w:rPr>
        <w:t xml:space="preserve">Table </w:t>
      </w:r>
      <w:r w:rsidR="006A23B6">
        <w:rPr>
          <w:lang w:val="en-US"/>
        </w:rPr>
        <w:fldChar w:fldCharType="begin"/>
      </w:r>
      <w:r w:rsidR="0076706F">
        <w:rPr>
          <w:lang w:val="en-US"/>
        </w:rPr>
        <w:instrText xml:space="preserve"> SEQ Table \* ARABIC </w:instrText>
      </w:r>
      <w:r w:rsidR="006A23B6">
        <w:rPr>
          <w:lang w:val="en-US"/>
        </w:rPr>
        <w:fldChar w:fldCharType="separate"/>
      </w:r>
      <w:r w:rsidR="00E45C4F">
        <w:rPr>
          <w:noProof/>
          <w:lang w:val="en-US"/>
        </w:rPr>
        <w:t>3</w:t>
      </w:r>
      <w:r w:rsidR="006A23B6">
        <w:rPr>
          <w:lang w:val="en-US"/>
        </w:rPr>
        <w:fldChar w:fldCharType="end"/>
      </w:r>
      <w:r w:rsidR="00B21376" w:rsidRPr="00B21376">
        <w:rPr>
          <w:lang w:val="en-US"/>
        </w:rPr>
        <w:t>: Number of Payment Types by Contactless Debit Card Adopters per Month</w:t>
      </w:r>
    </w:p>
    <w:tbl>
      <w:tblPr>
        <w:tblW w:w="8760" w:type="dxa"/>
        <w:jc w:val="center"/>
        <w:tblCellMar>
          <w:left w:w="70" w:type="dxa"/>
          <w:right w:w="70" w:type="dxa"/>
        </w:tblCellMar>
        <w:tblLook w:val="04A0"/>
      </w:tblPr>
      <w:tblGrid>
        <w:gridCol w:w="2200"/>
        <w:gridCol w:w="602"/>
        <w:gridCol w:w="967"/>
        <w:gridCol w:w="719"/>
        <w:gridCol w:w="540"/>
        <w:gridCol w:w="640"/>
        <w:gridCol w:w="920"/>
        <w:gridCol w:w="740"/>
        <w:gridCol w:w="440"/>
        <w:gridCol w:w="1020"/>
      </w:tblGrid>
      <w:tr w:rsidR="00DC3D11" w:rsidRPr="00DC3D11" w:rsidTr="00DC3D11">
        <w:trPr>
          <w:trHeight w:val="315"/>
          <w:jc w:val="center"/>
        </w:trPr>
        <w:tc>
          <w:tcPr>
            <w:tcW w:w="2200" w:type="dxa"/>
            <w:tcBorders>
              <w:top w:val="nil"/>
              <w:left w:val="nil"/>
              <w:bottom w:val="single" w:sz="8" w:space="0" w:color="115C2E"/>
              <w:right w:val="single" w:sz="8" w:space="0" w:color="auto"/>
            </w:tcBorders>
            <w:shd w:val="clear" w:color="auto" w:fill="auto"/>
            <w:vAlign w:val="center"/>
            <w:hideMark/>
          </w:tcPr>
          <w:p w:rsidR="00DC3D11" w:rsidRPr="00DC3D11" w:rsidRDefault="00DC3D11" w:rsidP="00223B6D">
            <w:pPr>
              <w:spacing w:line="276" w:lineRule="auto"/>
              <w:rPr>
                <w:rFonts w:eastAsia="Times New Roman" w:cs="Times New Roman"/>
                <w:color w:val="000000"/>
                <w:sz w:val="20"/>
                <w:lang w:val="en-US" w:eastAsia="de-CH"/>
              </w:rPr>
            </w:pPr>
            <w:r w:rsidRPr="00DC3D11">
              <w:rPr>
                <w:rFonts w:eastAsia="Times New Roman" w:cs="Times New Roman"/>
                <w:color w:val="000000"/>
                <w:sz w:val="20"/>
                <w:lang w:val="en-US" w:eastAsia="de-CH"/>
              </w:rPr>
              <w:t> </w:t>
            </w:r>
          </w:p>
        </w:tc>
        <w:tc>
          <w:tcPr>
            <w:tcW w:w="2820" w:type="dxa"/>
            <w:gridSpan w:val="4"/>
            <w:tcBorders>
              <w:top w:val="nil"/>
              <w:left w:val="nil"/>
              <w:bottom w:val="single" w:sz="8" w:space="0" w:color="115C2E"/>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Non-Innovator</w:t>
            </w:r>
          </w:p>
        </w:tc>
        <w:tc>
          <w:tcPr>
            <w:tcW w:w="2720" w:type="dxa"/>
            <w:gridSpan w:val="4"/>
            <w:tcBorders>
              <w:top w:val="nil"/>
              <w:left w:val="single" w:sz="8" w:space="0" w:color="auto"/>
              <w:bottom w:val="single" w:sz="8" w:space="0" w:color="115C2E"/>
              <w:right w:val="single" w:sz="4" w:space="0" w:color="000000"/>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Innovator</w:t>
            </w:r>
          </w:p>
        </w:tc>
        <w:tc>
          <w:tcPr>
            <w:tcW w:w="1020" w:type="dxa"/>
            <w:tcBorders>
              <w:top w:val="nil"/>
              <w:left w:val="nil"/>
              <w:bottom w:val="single" w:sz="8" w:space="0" w:color="115C2E"/>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t-Test</w:t>
            </w:r>
          </w:p>
        </w:tc>
      </w:tr>
      <w:tr w:rsidR="00DC3D11" w:rsidRPr="00DC3D11" w:rsidTr="00DC3D11">
        <w:trPr>
          <w:trHeight w:val="315"/>
          <w:jc w:val="center"/>
        </w:trPr>
        <w:tc>
          <w:tcPr>
            <w:tcW w:w="2200" w:type="dxa"/>
            <w:tcBorders>
              <w:top w:val="nil"/>
              <w:left w:val="nil"/>
              <w:bottom w:val="single" w:sz="8" w:space="0" w:color="auto"/>
              <w:right w:val="single" w:sz="8" w:space="0" w:color="auto"/>
            </w:tcBorders>
            <w:shd w:val="clear" w:color="auto" w:fill="auto"/>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eastAsia="de-CH"/>
              </w:rPr>
              <w:t>Variable</w:t>
            </w:r>
          </w:p>
        </w:tc>
        <w:tc>
          <w:tcPr>
            <w:tcW w:w="602"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proofErr w:type="spellStart"/>
            <w:r w:rsidRPr="00DC3D11">
              <w:rPr>
                <w:rFonts w:eastAsia="Times New Roman" w:cs="Times New Roman"/>
                <w:color w:val="000000"/>
                <w:sz w:val="20"/>
                <w:lang w:eastAsia="de-CH"/>
              </w:rPr>
              <w:t>Mean</w:t>
            </w:r>
            <w:proofErr w:type="spellEnd"/>
          </w:p>
        </w:tc>
        <w:tc>
          <w:tcPr>
            <w:tcW w:w="967"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 xml:space="preserve">Std. </w:t>
            </w:r>
            <w:proofErr w:type="spellStart"/>
            <w:r w:rsidRPr="00DC3D11">
              <w:rPr>
                <w:rFonts w:eastAsia="Times New Roman" w:cs="Times New Roman"/>
                <w:color w:val="000000"/>
                <w:sz w:val="20"/>
                <w:lang w:eastAsia="de-CH"/>
              </w:rPr>
              <w:t>Dev</w:t>
            </w:r>
            <w:proofErr w:type="spellEnd"/>
            <w:r w:rsidRPr="00DC3D11">
              <w:rPr>
                <w:rFonts w:eastAsia="Times New Roman" w:cs="Times New Roman"/>
                <w:color w:val="000000"/>
                <w:sz w:val="20"/>
                <w:lang w:eastAsia="de-CH"/>
              </w:rPr>
              <w:t>.</w:t>
            </w:r>
          </w:p>
        </w:tc>
        <w:tc>
          <w:tcPr>
            <w:tcW w:w="719"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Max.</w:t>
            </w:r>
          </w:p>
        </w:tc>
        <w:tc>
          <w:tcPr>
            <w:tcW w:w="532" w:type="dxa"/>
            <w:tcBorders>
              <w:top w:val="nil"/>
              <w:left w:val="nil"/>
              <w:bottom w:val="single" w:sz="8" w:space="0" w:color="auto"/>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N</w:t>
            </w:r>
          </w:p>
        </w:tc>
        <w:tc>
          <w:tcPr>
            <w:tcW w:w="640" w:type="dxa"/>
            <w:tcBorders>
              <w:top w:val="nil"/>
              <w:left w:val="nil"/>
              <w:bottom w:val="single" w:sz="8" w:space="0" w:color="auto"/>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proofErr w:type="spellStart"/>
            <w:r w:rsidRPr="00DC3D11">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 xml:space="preserve">Std. </w:t>
            </w:r>
            <w:proofErr w:type="spellStart"/>
            <w:r w:rsidRPr="00DC3D11">
              <w:rPr>
                <w:rFonts w:eastAsia="Times New Roman" w:cs="Times New Roman"/>
                <w:color w:val="000000"/>
                <w:sz w:val="20"/>
                <w:lang w:eastAsia="de-CH"/>
              </w:rPr>
              <w:t>Dev</w:t>
            </w:r>
            <w:proofErr w:type="spellEnd"/>
            <w:r w:rsidRPr="00DC3D11">
              <w:rPr>
                <w:rFonts w:eastAsia="Times New Roman" w:cs="Times New Roman"/>
                <w:color w:val="000000"/>
                <w:sz w:val="20"/>
                <w:lang w:eastAsia="de-CH"/>
              </w:rPr>
              <w:t>.</w:t>
            </w:r>
          </w:p>
        </w:tc>
        <w:tc>
          <w:tcPr>
            <w:tcW w:w="740" w:type="dxa"/>
            <w:tcBorders>
              <w:top w:val="nil"/>
              <w:left w:val="nil"/>
              <w:bottom w:val="single" w:sz="8" w:space="0" w:color="auto"/>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Max.</w:t>
            </w:r>
          </w:p>
        </w:tc>
        <w:tc>
          <w:tcPr>
            <w:tcW w:w="420" w:type="dxa"/>
            <w:tcBorders>
              <w:top w:val="nil"/>
              <w:left w:val="nil"/>
              <w:bottom w:val="single" w:sz="8" w:space="0" w:color="auto"/>
              <w:right w:val="single" w:sz="8" w:space="0" w:color="auto"/>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N</w:t>
            </w:r>
          </w:p>
        </w:tc>
        <w:tc>
          <w:tcPr>
            <w:tcW w:w="1020" w:type="dxa"/>
            <w:tcBorders>
              <w:top w:val="nil"/>
              <w:left w:val="nil"/>
              <w:bottom w:val="single" w:sz="8" w:space="0" w:color="auto"/>
              <w:right w:val="nil"/>
            </w:tcBorders>
            <w:shd w:val="clear" w:color="auto" w:fill="auto"/>
            <w:vAlign w:val="center"/>
            <w:hideMark/>
          </w:tcPr>
          <w:p w:rsidR="00DC3D11" w:rsidRPr="00DC3D11" w:rsidRDefault="00DC3D11" w:rsidP="00223B6D">
            <w:pPr>
              <w:spacing w:line="276" w:lineRule="auto"/>
              <w:jc w:val="center"/>
              <w:rPr>
                <w:rFonts w:eastAsia="Times New Roman" w:cs="Times New Roman"/>
                <w:color w:val="000000"/>
                <w:sz w:val="20"/>
                <w:lang w:eastAsia="de-CH"/>
              </w:rPr>
            </w:pPr>
            <w:proofErr w:type="spellStart"/>
            <w:r w:rsidRPr="00DC3D11">
              <w:rPr>
                <w:rFonts w:eastAsia="Times New Roman" w:cs="Times New Roman"/>
                <w:color w:val="000000"/>
                <w:sz w:val="20"/>
                <w:lang w:eastAsia="de-CH"/>
              </w:rPr>
              <w:t>Mean</w:t>
            </w:r>
            <w:proofErr w:type="spellEnd"/>
            <w:r w:rsidRPr="00DC3D11">
              <w:rPr>
                <w:rFonts w:eastAsia="Times New Roman" w:cs="Times New Roman"/>
                <w:color w:val="000000"/>
                <w:sz w:val="20"/>
                <w:lang w:eastAsia="de-CH"/>
              </w:rPr>
              <w:t xml:space="preserve"> </w:t>
            </w:r>
            <w:proofErr w:type="spellStart"/>
            <w:r w:rsidRPr="00DC3D11">
              <w:rPr>
                <w:rFonts w:eastAsia="Times New Roman" w:cs="Times New Roman"/>
                <w:color w:val="000000"/>
                <w:sz w:val="20"/>
                <w:lang w:eastAsia="de-CH"/>
              </w:rPr>
              <w:t>Diff</w:t>
            </w:r>
            <w:proofErr w:type="spellEnd"/>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CC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9.83</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117.4</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1875</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4.37</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15.26</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108.71</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181</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5.56***</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CC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5.88</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11.5</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100</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1858</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2.35</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8.59</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65.22</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180</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3.51***</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CC Services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4.06</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8.34</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95.66</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1854</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2.03</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7.18</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43.48</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180</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2.06***</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DC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13.76</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22.53</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139.14</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1876</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24.13</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25.13</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130.45</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179</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−10.33***</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DC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8.64</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15.12</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86.96</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1865</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12.85</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14.8</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108.71</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178</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−4.20***</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DC Services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5.29</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9.85</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100</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1843</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11.33</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13.02</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65.22</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178</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−6.14***</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SVC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0.3</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1.51</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17.39</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1853</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0.88</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2.94</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20</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180</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−0.48</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SVC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0.17</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0.92</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12</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1848</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0.66</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2.37</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20</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178</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−0.40</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SVC Services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0.13</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0.72</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8.7</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1843</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0.22</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0.85</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4.35</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178</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−0.08</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Overall Card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23.6</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27.15</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173.93</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1893</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29.04</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31.02</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173.93</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183</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−5.25</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Overall Card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14.4</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17.98</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108.71</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1891</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15.65</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17.88</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109.71</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183</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−1.08</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Overall Card Services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9.23</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12.38</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105</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1890</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13.39</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15.75</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86.96</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183</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−4.16**</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Cash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15.96</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18.92</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130.45</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1850</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18.98</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20.54</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108.71</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179</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−3.11</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Cash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9.3</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12.63</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100</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1831</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10.22</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12.57</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65.22</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177</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−0.91</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Cash Services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6.88</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9.64</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86.96</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1821</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8.89</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10.78</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43.48</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178</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−2.20</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Total POS</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42.24</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37.96</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245.5</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1900</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50.34</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42.95</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196.84</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184</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−8.17</w:t>
            </w:r>
          </w:p>
        </w:tc>
      </w:tr>
      <w:tr w:rsidR="00DC3D11" w:rsidRPr="00DC3D11" w:rsidTr="00DC3D11">
        <w:trPr>
          <w:trHeight w:val="300"/>
          <w:jc w:val="center"/>
        </w:trPr>
        <w:tc>
          <w:tcPr>
            <w:tcW w:w="220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Total Retail</w:t>
            </w:r>
          </w:p>
        </w:tc>
        <w:tc>
          <w:tcPr>
            <w:tcW w:w="602"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24.88</w:t>
            </w:r>
          </w:p>
        </w:tc>
        <w:tc>
          <w:tcPr>
            <w:tcW w:w="967"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24.43</w:t>
            </w:r>
          </w:p>
        </w:tc>
        <w:tc>
          <w:tcPr>
            <w:tcW w:w="719"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153.19</w:t>
            </w:r>
          </w:p>
        </w:tc>
        <w:tc>
          <w:tcPr>
            <w:tcW w:w="532"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1900</w:t>
            </w:r>
          </w:p>
        </w:tc>
        <w:tc>
          <w:tcPr>
            <w:tcW w:w="6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26.91</w:t>
            </w:r>
          </w:p>
        </w:tc>
        <w:tc>
          <w:tcPr>
            <w:tcW w:w="9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24.14</w:t>
            </w:r>
          </w:p>
        </w:tc>
        <w:tc>
          <w:tcPr>
            <w:tcW w:w="74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148.84</w:t>
            </w:r>
          </w:p>
        </w:tc>
        <w:tc>
          <w:tcPr>
            <w:tcW w:w="420" w:type="dxa"/>
            <w:tcBorders>
              <w:top w:val="nil"/>
              <w:left w:val="nil"/>
              <w:bottom w:val="nil"/>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eastAsia="de-CH"/>
              </w:rPr>
              <w:t>184</w:t>
            </w:r>
          </w:p>
        </w:tc>
        <w:tc>
          <w:tcPr>
            <w:tcW w:w="1020" w:type="dxa"/>
            <w:tcBorders>
              <w:top w:val="nil"/>
              <w:left w:val="nil"/>
              <w:bottom w:val="nil"/>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−1.93</w:t>
            </w:r>
          </w:p>
        </w:tc>
      </w:tr>
      <w:tr w:rsidR="00DC3D11" w:rsidRPr="00DC3D11" w:rsidTr="00DC3D11">
        <w:trPr>
          <w:trHeight w:val="315"/>
          <w:jc w:val="center"/>
        </w:trPr>
        <w:tc>
          <w:tcPr>
            <w:tcW w:w="2200" w:type="dxa"/>
            <w:tcBorders>
              <w:top w:val="nil"/>
              <w:left w:val="nil"/>
              <w:bottom w:val="single" w:sz="8" w:space="0" w:color="auto"/>
              <w:right w:val="single" w:sz="8" w:space="0" w:color="auto"/>
            </w:tcBorders>
            <w:shd w:val="clear" w:color="auto" w:fill="auto"/>
            <w:noWrap/>
            <w:vAlign w:val="center"/>
            <w:hideMark/>
          </w:tcPr>
          <w:p w:rsidR="00DC3D11" w:rsidRPr="00DC3D11" w:rsidRDefault="00DC3D11" w:rsidP="00223B6D">
            <w:pPr>
              <w:spacing w:line="276" w:lineRule="auto"/>
              <w:jc w:val="left"/>
              <w:rPr>
                <w:rFonts w:eastAsia="Times New Roman" w:cs="Times New Roman"/>
                <w:color w:val="000000"/>
                <w:sz w:val="20"/>
                <w:lang w:eastAsia="de-CH"/>
              </w:rPr>
            </w:pPr>
            <w:r w:rsidRPr="00DC3D11">
              <w:rPr>
                <w:rFonts w:eastAsia="Times New Roman" w:cs="Times New Roman"/>
                <w:color w:val="000000"/>
                <w:sz w:val="20"/>
                <w:lang w:val="en-US" w:eastAsia="de-CH"/>
              </w:rPr>
              <w:t xml:space="preserve">   Total Services</w:t>
            </w:r>
          </w:p>
        </w:tc>
        <w:tc>
          <w:tcPr>
            <w:tcW w:w="602"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17.36</w:t>
            </w:r>
          </w:p>
        </w:tc>
        <w:tc>
          <w:tcPr>
            <w:tcW w:w="967"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18.82</w:t>
            </w:r>
          </w:p>
        </w:tc>
        <w:tc>
          <w:tcPr>
            <w:tcW w:w="719"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158</w:t>
            </w:r>
          </w:p>
        </w:tc>
        <w:tc>
          <w:tcPr>
            <w:tcW w:w="532" w:type="dxa"/>
            <w:tcBorders>
              <w:top w:val="nil"/>
              <w:left w:val="nil"/>
              <w:bottom w:val="single" w:sz="8" w:space="0" w:color="auto"/>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1900</w:t>
            </w:r>
          </w:p>
        </w:tc>
        <w:tc>
          <w:tcPr>
            <w:tcW w:w="640"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23.43</w:t>
            </w:r>
          </w:p>
        </w:tc>
        <w:tc>
          <w:tcPr>
            <w:tcW w:w="920"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22.61</w:t>
            </w:r>
          </w:p>
        </w:tc>
        <w:tc>
          <w:tcPr>
            <w:tcW w:w="740"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117.4</w:t>
            </w:r>
          </w:p>
        </w:tc>
        <w:tc>
          <w:tcPr>
            <w:tcW w:w="420" w:type="dxa"/>
            <w:tcBorders>
              <w:top w:val="nil"/>
              <w:left w:val="nil"/>
              <w:bottom w:val="single" w:sz="8" w:space="0" w:color="auto"/>
              <w:right w:val="single" w:sz="8" w:space="0" w:color="auto"/>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184</w:t>
            </w:r>
          </w:p>
        </w:tc>
        <w:tc>
          <w:tcPr>
            <w:tcW w:w="1020" w:type="dxa"/>
            <w:tcBorders>
              <w:top w:val="nil"/>
              <w:left w:val="nil"/>
              <w:bottom w:val="single" w:sz="8" w:space="0" w:color="auto"/>
              <w:right w:val="nil"/>
            </w:tcBorders>
            <w:shd w:val="clear" w:color="auto" w:fill="auto"/>
            <w:noWrap/>
            <w:vAlign w:val="center"/>
            <w:hideMark/>
          </w:tcPr>
          <w:p w:rsidR="00DC3D11" w:rsidRPr="00DC3D11" w:rsidRDefault="00DC3D11" w:rsidP="00223B6D">
            <w:pPr>
              <w:spacing w:line="276" w:lineRule="auto"/>
              <w:jc w:val="center"/>
              <w:rPr>
                <w:rFonts w:eastAsia="Times New Roman" w:cs="Times New Roman"/>
                <w:color w:val="000000"/>
                <w:sz w:val="20"/>
                <w:lang w:eastAsia="de-CH"/>
              </w:rPr>
            </w:pPr>
            <w:r w:rsidRPr="00DC3D11">
              <w:rPr>
                <w:rFonts w:eastAsia="Times New Roman" w:cs="Times New Roman"/>
                <w:color w:val="000000"/>
                <w:sz w:val="20"/>
                <w:lang w:val="en-US" w:eastAsia="de-CH"/>
              </w:rPr>
              <w:t>−6.24**</w:t>
            </w:r>
          </w:p>
        </w:tc>
      </w:tr>
    </w:tbl>
    <w:p w:rsidR="00512F1A" w:rsidRDefault="00B21376" w:rsidP="00223B6D">
      <w:pPr>
        <w:pStyle w:val="Nzev"/>
        <w:spacing w:line="276" w:lineRule="auto"/>
        <w:jc w:val="left"/>
        <w:rPr>
          <w:lang w:val="en-US" w:eastAsia="de-DE"/>
        </w:rPr>
      </w:pPr>
      <w:r w:rsidRPr="00B21376">
        <w:rPr>
          <w:lang w:val="en-US" w:eastAsia="de-DE"/>
        </w:rPr>
        <w:t>Note: Survey weights used. Subcategories do not sum to main category due to rounding and weighting. For brevity, the minimum is dropped but equals zero for every typ</w:t>
      </w:r>
      <w:r w:rsidR="004E4D5F">
        <w:rPr>
          <w:lang w:val="en-US" w:eastAsia="de-DE"/>
        </w:rPr>
        <w:t xml:space="preserve">e of payment. </w:t>
      </w:r>
      <w:proofErr w:type="gramStart"/>
      <w:r w:rsidR="004E4D5F">
        <w:rPr>
          <w:lang w:val="en-US" w:eastAsia="de-DE"/>
        </w:rPr>
        <w:t>T-test of mean diff</w:t>
      </w:r>
      <w:r w:rsidRPr="00B21376">
        <w:rPr>
          <w:lang w:val="en-US" w:eastAsia="de-DE"/>
        </w:rPr>
        <w:t>erences of innovator and non-innovator.</w:t>
      </w:r>
      <w:proofErr w:type="gramEnd"/>
      <w:r w:rsidRPr="00B21376">
        <w:rPr>
          <w:lang w:val="en-US" w:eastAsia="de-DE"/>
        </w:rPr>
        <w:t xml:space="preserve"> They can</w:t>
      </w:r>
      <w:r w:rsidR="00173835">
        <w:rPr>
          <w:lang w:val="en-US" w:eastAsia="de-DE"/>
        </w:rPr>
        <w:t xml:space="preserve"> diff</w:t>
      </w:r>
      <w:r w:rsidRPr="00B21376">
        <w:rPr>
          <w:lang w:val="en-US" w:eastAsia="de-DE"/>
        </w:rPr>
        <w:t>er from true values due t</w:t>
      </w:r>
      <w:r w:rsidR="004E4D5F">
        <w:rPr>
          <w:lang w:val="en-US" w:eastAsia="de-DE"/>
        </w:rPr>
        <w:t xml:space="preserve">o rounding and weighting. </w:t>
      </w:r>
      <w:proofErr w:type="gramStart"/>
      <w:r w:rsidR="004E4D5F">
        <w:rPr>
          <w:lang w:val="en-US" w:eastAsia="de-DE"/>
        </w:rPr>
        <w:t>Signifi</w:t>
      </w:r>
      <w:r w:rsidRPr="00B21376">
        <w:rPr>
          <w:lang w:val="en-US" w:eastAsia="de-DE"/>
        </w:rPr>
        <w:t>cance levels 1% ***, 5% ** and 10% *.</w:t>
      </w:r>
      <w:proofErr w:type="gramEnd"/>
      <w:r w:rsidRPr="00B21376">
        <w:rPr>
          <w:lang w:val="en-US" w:eastAsia="de-DE"/>
        </w:rPr>
        <w:t xml:space="preserve"> CC represents credit cards, DC debit cards and SVC stored-value cards. Overall card payments are the sum of CC, DC and SVC payments. Total POS payments are the sum of overall card POS payments, cash POS payments plus check and money order payments.</w:t>
      </w:r>
    </w:p>
    <w:p w:rsidR="00B21376" w:rsidRPr="001A039F" w:rsidRDefault="00B21376" w:rsidP="00223B6D">
      <w:pPr>
        <w:spacing w:line="276" w:lineRule="auto"/>
        <w:rPr>
          <w:sz w:val="20"/>
          <w:lang w:val="en-US" w:eastAsia="de-DE"/>
        </w:rPr>
      </w:pPr>
    </w:p>
    <w:p w:rsidR="00512F1A" w:rsidRPr="00512F1A" w:rsidRDefault="00512F1A" w:rsidP="00223B6D">
      <w:pPr>
        <w:spacing w:line="276" w:lineRule="auto"/>
        <w:rPr>
          <w:lang w:val="en-US" w:eastAsia="de-DE"/>
        </w:rPr>
      </w:pPr>
      <w:r w:rsidRPr="00512F1A">
        <w:rPr>
          <w:lang w:val="en-US" w:eastAsia="de-DE"/>
        </w:rPr>
        <w:t>In sum, contactless credit and debit card adopt</w:t>
      </w:r>
      <w:r w:rsidR="001916DB">
        <w:rPr>
          <w:lang w:val="en-US" w:eastAsia="de-DE"/>
        </w:rPr>
        <w:t>ers undertake statistically signifi</w:t>
      </w:r>
      <w:r w:rsidRPr="00512F1A">
        <w:rPr>
          <w:lang w:val="en-US" w:eastAsia="de-DE"/>
        </w:rPr>
        <w:t>cantly more transactions by their corresponding payment cards compared to non-adopters while this also holds</w:t>
      </w:r>
      <w:r w:rsidR="004A323C">
        <w:rPr>
          <w:lang w:val="en-US" w:eastAsia="de-DE"/>
        </w:rPr>
        <w:t xml:space="preserve"> true</w:t>
      </w:r>
      <w:r w:rsidRPr="00512F1A">
        <w:rPr>
          <w:lang w:val="en-US" w:eastAsia="de-DE"/>
        </w:rPr>
        <w:t xml:space="preserve"> for overall card services payments.</w:t>
      </w:r>
    </w:p>
    <w:p w:rsidR="00512F1A" w:rsidRPr="00512F1A" w:rsidRDefault="00512F1A"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t>For the purpose of the analysis, I compute</w:t>
      </w:r>
      <w:r w:rsidR="00195EDC">
        <w:rPr>
          <w:lang w:val="en-US" w:eastAsia="de-DE"/>
        </w:rPr>
        <w:t>d</w:t>
      </w:r>
      <w:r w:rsidRPr="00512F1A">
        <w:rPr>
          <w:lang w:val="en-US" w:eastAsia="de-DE"/>
        </w:rPr>
        <w:t xml:space="preserve"> the ratio of credit and debit card transactions separately to total payments at the POS, which is a more robust measurement towards outli</w:t>
      </w:r>
      <w:r>
        <w:rPr>
          <w:lang w:val="en-US" w:eastAsia="de-DE"/>
        </w:rPr>
        <w:t>ers.</w:t>
      </w:r>
      <w:r>
        <w:rPr>
          <w:rStyle w:val="Znakapoznpodarou"/>
          <w:lang w:val="en-US" w:eastAsia="de-DE"/>
        </w:rPr>
        <w:footnoteReference w:id="11"/>
      </w:r>
      <w:r w:rsidRPr="00512F1A">
        <w:rPr>
          <w:lang w:val="en-US" w:eastAsia="de-DE"/>
        </w:rPr>
        <w:t xml:space="preserve"> The majority of individuals exhibit a very small spending ratio both for credit and debit cards (see Figures 1 and 2) because roughly 31 percent and 35 percent of individuals stated to </w:t>
      </w:r>
      <w:r w:rsidR="00966C4D">
        <w:rPr>
          <w:lang w:val="en-US" w:eastAsia="de-DE"/>
        </w:rPr>
        <w:t>have</w:t>
      </w:r>
      <w:r w:rsidRPr="00512F1A">
        <w:rPr>
          <w:lang w:val="en-US" w:eastAsia="de-DE"/>
        </w:rPr>
        <w:t xml:space="preserve"> conducted zero credit and debit card payments per month, respectively (only restricted to those who possess a credit and debit card). This may stem either from those who did not make any purchases during a typical month or from those who forgot or refused to report any payments. Thus, the reasons for</w:t>
      </w:r>
      <w:r w:rsidR="0049481E">
        <w:rPr>
          <w:lang w:val="en-US" w:eastAsia="de-DE"/>
        </w:rPr>
        <w:t xml:space="preserve"> reporting zero payments may diff</w:t>
      </w:r>
      <w:r w:rsidRPr="00512F1A">
        <w:rPr>
          <w:lang w:val="en-US" w:eastAsia="de-DE"/>
        </w:rPr>
        <w:t>er from the determinants of the actual non-negative integer number of card payments recorded.</w:t>
      </w:r>
    </w:p>
    <w:p w:rsidR="00512F1A" w:rsidRPr="00512F1A" w:rsidRDefault="00512F1A" w:rsidP="00223B6D">
      <w:pPr>
        <w:spacing w:line="276" w:lineRule="auto"/>
        <w:rPr>
          <w:lang w:val="en-US" w:eastAsia="de-DE"/>
        </w:rPr>
      </w:pPr>
    </w:p>
    <w:p w:rsidR="005C133F" w:rsidRPr="005C133F" w:rsidRDefault="005C133F" w:rsidP="00223B6D">
      <w:pPr>
        <w:pStyle w:val="Titulek"/>
        <w:keepNext/>
        <w:spacing w:line="276" w:lineRule="auto"/>
        <w:rPr>
          <w:lang w:val="en-US"/>
        </w:rPr>
      </w:pPr>
      <w:r w:rsidRPr="005C133F">
        <w:rPr>
          <w:lang w:val="en-US"/>
        </w:rPr>
        <w:lastRenderedPageBreak/>
        <w:t xml:space="preserve">Figure </w:t>
      </w:r>
      <w:r w:rsidR="006A23B6">
        <w:fldChar w:fldCharType="begin"/>
      </w:r>
      <w:r w:rsidRPr="005C133F">
        <w:rPr>
          <w:lang w:val="en-US"/>
        </w:rPr>
        <w:instrText xml:space="preserve"> SEQ Figure \* ARABIC </w:instrText>
      </w:r>
      <w:r w:rsidR="006A23B6">
        <w:fldChar w:fldCharType="separate"/>
      </w:r>
      <w:r w:rsidR="00E45C4F">
        <w:rPr>
          <w:noProof/>
          <w:lang w:val="en-US"/>
        </w:rPr>
        <w:t>1</w:t>
      </w:r>
      <w:r w:rsidR="006A23B6">
        <w:fldChar w:fldCharType="end"/>
      </w:r>
      <w:r w:rsidRPr="005C133F">
        <w:rPr>
          <w:lang w:val="en-US"/>
        </w:rPr>
        <w:t>: Share of Credit Card Payments per Month at the POS</w:t>
      </w:r>
    </w:p>
    <w:p w:rsidR="00505462" w:rsidRDefault="00505462" w:rsidP="00223B6D">
      <w:pPr>
        <w:keepNext/>
        <w:spacing w:line="276" w:lineRule="auto"/>
        <w:jc w:val="center"/>
      </w:pPr>
      <w:r>
        <w:rPr>
          <w:noProof/>
          <w:lang w:val="cs-CZ" w:eastAsia="cs-CZ"/>
        </w:rPr>
        <w:drawing>
          <wp:inline distT="0" distB="0" distL="0" distR="0">
            <wp:extent cx="2476800" cy="18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_share.png"/>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800" cy="1800000"/>
                    </a:xfrm>
                    <a:prstGeom prst="rect">
                      <a:avLst/>
                    </a:prstGeom>
                  </pic:spPr>
                </pic:pic>
              </a:graphicData>
            </a:graphic>
          </wp:inline>
        </w:drawing>
      </w:r>
    </w:p>
    <w:p w:rsidR="00512F1A" w:rsidRDefault="00512F1A" w:rsidP="00223B6D">
      <w:pPr>
        <w:pStyle w:val="Titulek"/>
        <w:spacing w:line="276" w:lineRule="auto"/>
        <w:rPr>
          <w:lang w:val="en-US" w:eastAsia="de-DE"/>
        </w:rPr>
      </w:pPr>
    </w:p>
    <w:p w:rsidR="005C133F" w:rsidRPr="005C133F" w:rsidRDefault="005C133F" w:rsidP="00223B6D">
      <w:pPr>
        <w:pStyle w:val="Titulek"/>
        <w:keepNext/>
        <w:spacing w:line="276" w:lineRule="auto"/>
        <w:rPr>
          <w:lang w:val="en-US"/>
        </w:rPr>
      </w:pPr>
      <w:r w:rsidRPr="005C133F">
        <w:rPr>
          <w:lang w:val="en-US"/>
        </w:rPr>
        <w:t xml:space="preserve">Figure </w:t>
      </w:r>
      <w:r w:rsidR="006A23B6">
        <w:fldChar w:fldCharType="begin"/>
      </w:r>
      <w:r w:rsidRPr="005C133F">
        <w:rPr>
          <w:lang w:val="en-US"/>
        </w:rPr>
        <w:instrText xml:space="preserve"> SEQ Figure \* ARABIC </w:instrText>
      </w:r>
      <w:r w:rsidR="006A23B6">
        <w:fldChar w:fldCharType="separate"/>
      </w:r>
      <w:r w:rsidR="00E45C4F">
        <w:rPr>
          <w:noProof/>
          <w:lang w:val="en-US"/>
        </w:rPr>
        <w:t>2</w:t>
      </w:r>
      <w:r w:rsidR="006A23B6">
        <w:fldChar w:fldCharType="end"/>
      </w:r>
      <w:r w:rsidRPr="005C133F">
        <w:rPr>
          <w:lang w:val="en-US"/>
        </w:rPr>
        <w:t>: Share of Debit Card Payments per Month at the POS</w:t>
      </w:r>
    </w:p>
    <w:p w:rsidR="005C133F" w:rsidRPr="005C133F" w:rsidRDefault="005C133F" w:rsidP="00223B6D">
      <w:pPr>
        <w:spacing w:line="276" w:lineRule="auto"/>
        <w:jc w:val="center"/>
        <w:rPr>
          <w:lang w:val="en-US" w:eastAsia="de-DE"/>
        </w:rPr>
      </w:pPr>
      <w:r>
        <w:rPr>
          <w:noProof/>
          <w:lang w:val="cs-CZ" w:eastAsia="cs-CZ"/>
        </w:rPr>
        <w:drawing>
          <wp:inline distT="0" distB="0" distL="0" distR="0">
            <wp:extent cx="2473200" cy="1800000"/>
            <wp:effectExtent l="0" t="0" r="381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_share.png"/>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3200" cy="1800000"/>
                    </a:xfrm>
                    <a:prstGeom prst="rect">
                      <a:avLst/>
                    </a:prstGeom>
                  </pic:spPr>
                </pic:pic>
              </a:graphicData>
            </a:graphic>
          </wp:inline>
        </w:drawing>
      </w:r>
    </w:p>
    <w:p w:rsidR="00505462" w:rsidRPr="00512F1A" w:rsidRDefault="00505462"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 xml:space="preserve">The data set also provides rich information </w:t>
      </w:r>
      <w:r w:rsidR="001916DB">
        <w:rPr>
          <w:lang w:val="en-US" w:eastAsia="de-DE"/>
        </w:rPr>
        <w:t>about consumer demographic char</w:t>
      </w:r>
      <w:r w:rsidRPr="00512F1A">
        <w:rPr>
          <w:lang w:val="en-US" w:eastAsia="de-DE"/>
        </w:rPr>
        <w:t xml:space="preserve">acteristics and </w:t>
      </w:r>
      <w:r w:rsidR="001916DB">
        <w:rPr>
          <w:lang w:val="en-US" w:eastAsia="de-DE"/>
        </w:rPr>
        <w:t>fi</w:t>
      </w:r>
      <w:r w:rsidRPr="00512F1A">
        <w:rPr>
          <w:lang w:val="en-US" w:eastAsia="de-DE"/>
        </w:rPr>
        <w:t xml:space="preserve">nancial status. Tables 4 and 5 give insights in demographic characteristics and </w:t>
      </w:r>
      <w:r w:rsidR="001916DB">
        <w:rPr>
          <w:lang w:val="en-US" w:eastAsia="de-DE"/>
        </w:rPr>
        <w:t>fi</w:t>
      </w:r>
      <w:r w:rsidRPr="00512F1A">
        <w:rPr>
          <w:lang w:val="en-US" w:eastAsia="de-DE"/>
        </w:rPr>
        <w:t>nancial status of contactless credit and debit card holders separately. Obviously, referring to Table 4, the sample of contactless credit card adopters is</w:t>
      </w:r>
      <w:r>
        <w:rPr>
          <w:lang w:val="en-US" w:eastAsia="de-DE"/>
        </w:rPr>
        <w:t xml:space="preserve"> </w:t>
      </w:r>
      <w:r w:rsidRPr="00512F1A">
        <w:rPr>
          <w:lang w:val="en-US" w:eastAsia="de-DE"/>
        </w:rPr>
        <w:t>more skewed towards higher income and education brackets as well as higher asset shares. For instance, 14 percent of individuals earning 125000 USD above possess a contactless credit card</w:t>
      </w:r>
      <w:r w:rsidR="00E477BB">
        <w:rPr>
          <w:lang w:val="en-US" w:eastAsia="de-DE"/>
        </w:rPr>
        <w:t xml:space="preserve">, which is also observable for 25 percent of individuals who </w:t>
      </w:r>
      <w:r w:rsidR="00E477BB" w:rsidRPr="00512F1A">
        <w:rPr>
          <w:lang w:val="en-US" w:eastAsia="de-DE"/>
        </w:rPr>
        <w:t>have completed some post graduate studies</w:t>
      </w:r>
      <w:r w:rsidRPr="00512F1A">
        <w:rPr>
          <w:lang w:val="en-US" w:eastAsia="de-DE"/>
        </w:rPr>
        <w:t>. On average, innovators also withdraw money less frequently than non-innovators and are mostly male, working and married compared to non-innovators.</w:t>
      </w:r>
    </w:p>
    <w:p w:rsidR="00303B04" w:rsidRDefault="00303B04" w:rsidP="00223B6D">
      <w:pPr>
        <w:spacing w:line="276" w:lineRule="auto"/>
        <w:jc w:val="left"/>
        <w:rPr>
          <w:lang w:val="en-US" w:eastAsia="de-DE"/>
        </w:rPr>
      </w:pPr>
      <w:r>
        <w:rPr>
          <w:lang w:val="en-US" w:eastAsia="de-DE"/>
        </w:rPr>
        <w:br w:type="page"/>
      </w:r>
    </w:p>
    <w:p w:rsidR="00512F1A" w:rsidRPr="009F2BD3" w:rsidRDefault="009F2BD3" w:rsidP="00223B6D">
      <w:pPr>
        <w:pStyle w:val="Titulek"/>
        <w:spacing w:line="276" w:lineRule="auto"/>
        <w:rPr>
          <w:lang w:val="en-US" w:eastAsia="de-DE"/>
        </w:rPr>
      </w:pPr>
      <w:r w:rsidRPr="009F2BD3">
        <w:rPr>
          <w:lang w:val="en-US"/>
        </w:rPr>
        <w:lastRenderedPageBreak/>
        <w:t xml:space="preserve">Table </w:t>
      </w:r>
      <w:r w:rsidR="006A23B6">
        <w:rPr>
          <w:lang w:val="en-US"/>
        </w:rPr>
        <w:fldChar w:fldCharType="begin"/>
      </w:r>
      <w:r w:rsidR="0076706F">
        <w:rPr>
          <w:lang w:val="en-US"/>
        </w:rPr>
        <w:instrText xml:space="preserve"> SEQ Table \* ARABIC </w:instrText>
      </w:r>
      <w:r w:rsidR="006A23B6">
        <w:rPr>
          <w:lang w:val="en-US"/>
        </w:rPr>
        <w:fldChar w:fldCharType="separate"/>
      </w:r>
      <w:r w:rsidR="00E45C4F">
        <w:rPr>
          <w:noProof/>
          <w:lang w:val="en-US"/>
        </w:rPr>
        <w:t>4</w:t>
      </w:r>
      <w:r w:rsidR="006A23B6">
        <w:rPr>
          <w:lang w:val="en-US"/>
        </w:rPr>
        <w:fldChar w:fldCharType="end"/>
      </w:r>
      <w:r w:rsidRPr="009F2BD3">
        <w:rPr>
          <w:lang w:val="en-US"/>
        </w:rPr>
        <w:t>: Sample Summary Statistics of Credit Card Adopters</w:t>
      </w:r>
    </w:p>
    <w:tbl>
      <w:tblPr>
        <w:tblW w:w="8202" w:type="dxa"/>
        <w:jc w:val="center"/>
        <w:tblCellMar>
          <w:left w:w="70" w:type="dxa"/>
          <w:right w:w="70" w:type="dxa"/>
        </w:tblCellMar>
        <w:tblLook w:val="04A0"/>
      </w:tblPr>
      <w:tblGrid>
        <w:gridCol w:w="1743"/>
        <w:gridCol w:w="619"/>
        <w:gridCol w:w="920"/>
        <w:gridCol w:w="543"/>
        <w:gridCol w:w="700"/>
        <w:gridCol w:w="560"/>
        <w:gridCol w:w="619"/>
        <w:gridCol w:w="920"/>
        <w:gridCol w:w="543"/>
        <w:gridCol w:w="580"/>
        <w:gridCol w:w="455"/>
      </w:tblGrid>
      <w:tr w:rsidR="00627861" w:rsidRPr="00627861" w:rsidTr="009071E3">
        <w:trPr>
          <w:trHeight w:val="300"/>
          <w:jc w:val="center"/>
        </w:trPr>
        <w:tc>
          <w:tcPr>
            <w:tcW w:w="1743" w:type="dxa"/>
            <w:tcBorders>
              <w:top w:val="nil"/>
              <w:left w:val="nil"/>
              <w:bottom w:val="single" w:sz="8" w:space="0" w:color="115C2E"/>
              <w:right w:val="single" w:sz="8" w:space="0" w:color="auto"/>
            </w:tcBorders>
            <w:shd w:val="clear" w:color="auto" w:fill="auto"/>
            <w:vAlign w:val="center"/>
            <w:hideMark/>
          </w:tcPr>
          <w:p w:rsidR="00627861" w:rsidRPr="00F32FB5" w:rsidRDefault="00627861" w:rsidP="00223B6D">
            <w:pPr>
              <w:spacing w:line="276" w:lineRule="auto"/>
              <w:ind w:right="-252"/>
              <w:jc w:val="left"/>
              <w:rPr>
                <w:rFonts w:eastAsia="Times New Roman" w:cs="Times New Roman"/>
                <w:color w:val="000000"/>
                <w:sz w:val="20"/>
                <w:lang w:val="en-US" w:eastAsia="de-CH"/>
              </w:rPr>
            </w:pPr>
            <w:r w:rsidRPr="00627861">
              <w:rPr>
                <w:rFonts w:eastAsia="Times New Roman" w:cs="Times New Roman"/>
                <w:color w:val="000000"/>
                <w:sz w:val="20"/>
                <w:lang w:val="en-US" w:eastAsia="de-CH"/>
              </w:rPr>
              <w:t> </w:t>
            </w:r>
          </w:p>
        </w:tc>
        <w:tc>
          <w:tcPr>
            <w:tcW w:w="3342" w:type="dxa"/>
            <w:gridSpan w:val="5"/>
            <w:tcBorders>
              <w:top w:val="nil"/>
              <w:left w:val="nil"/>
              <w:bottom w:val="single" w:sz="8" w:space="0" w:color="115C2E"/>
              <w:right w:val="single" w:sz="8" w:space="0" w:color="000000"/>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Non-Innovator</w:t>
            </w:r>
          </w:p>
        </w:tc>
        <w:tc>
          <w:tcPr>
            <w:tcW w:w="3117" w:type="dxa"/>
            <w:gridSpan w:val="5"/>
            <w:tcBorders>
              <w:top w:val="nil"/>
              <w:left w:val="nil"/>
              <w:bottom w:val="single" w:sz="8" w:space="0" w:color="115C2E"/>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Innovator</w:t>
            </w:r>
          </w:p>
        </w:tc>
      </w:tr>
      <w:tr w:rsidR="00627861" w:rsidRPr="00627861" w:rsidTr="009071E3">
        <w:trPr>
          <w:trHeight w:val="300"/>
          <w:jc w:val="center"/>
        </w:trPr>
        <w:tc>
          <w:tcPr>
            <w:tcW w:w="1743" w:type="dxa"/>
            <w:tcBorders>
              <w:top w:val="nil"/>
              <w:left w:val="nil"/>
              <w:bottom w:val="single" w:sz="8" w:space="0" w:color="auto"/>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eastAsia="de-CH"/>
              </w:rPr>
              <w:t>Variable</w:t>
            </w:r>
          </w:p>
        </w:tc>
        <w:tc>
          <w:tcPr>
            <w:tcW w:w="619"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proofErr w:type="spellStart"/>
            <w:r w:rsidRPr="00627861">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 xml:space="preserve">Std. </w:t>
            </w:r>
            <w:proofErr w:type="spellStart"/>
            <w:r w:rsidRPr="00627861">
              <w:rPr>
                <w:rFonts w:eastAsia="Times New Roman" w:cs="Times New Roman"/>
                <w:color w:val="000000"/>
                <w:sz w:val="20"/>
                <w:lang w:eastAsia="de-CH"/>
              </w:rPr>
              <w:t>Dev</w:t>
            </w:r>
            <w:proofErr w:type="spellEnd"/>
            <w:r w:rsidRPr="00627861">
              <w:rPr>
                <w:rFonts w:eastAsia="Times New Roman" w:cs="Times New Roman"/>
                <w:color w:val="000000"/>
                <w:sz w:val="20"/>
                <w:lang w:eastAsia="de-CH"/>
              </w:rPr>
              <w:t>.</w:t>
            </w:r>
          </w:p>
        </w:tc>
        <w:tc>
          <w:tcPr>
            <w:tcW w:w="543"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Min.</w:t>
            </w:r>
          </w:p>
        </w:tc>
        <w:tc>
          <w:tcPr>
            <w:tcW w:w="700"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Max.</w:t>
            </w:r>
          </w:p>
        </w:tc>
        <w:tc>
          <w:tcPr>
            <w:tcW w:w="560" w:type="dxa"/>
            <w:tcBorders>
              <w:top w:val="nil"/>
              <w:left w:val="nil"/>
              <w:bottom w:val="single" w:sz="8" w:space="0" w:color="auto"/>
              <w:right w:val="single" w:sz="8" w:space="0" w:color="auto"/>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N</w:t>
            </w:r>
          </w:p>
        </w:tc>
        <w:tc>
          <w:tcPr>
            <w:tcW w:w="619"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proofErr w:type="spellStart"/>
            <w:r w:rsidRPr="00627861">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 xml:space="preserve">Std. </w:t>
            </w:r>
            <w:proofErr w:type="spellStart"/>
            <w:r w:rsidRPr="00627861">
              <w:rPr>
                <w:rFonts w:eastAsia="Times New Roman" w:cs="Times New Roman"/>
                <w:color w:val="000000"/>
                <w:sz w:val="20"/>
                <w:lang w:eastAsia="de-CH"/>
              </w:rPr>
              <w:t>Dev</w:t>
            </w:r>
            <w:proofErr w:type="spellEnd"/>
            <w:r w:rsidRPr="00627861">
              <w:rPr>
                <w:rFonts w:eastAsia="Times New Roman" w:cs="Times New Roman"/>
                <w:color w:val="000000"/>
                <w:sz w:val="20"/>
                <w:lang w:eastAsia="de-CH"/>
              </w:rPr>
              <w:t>.</w:t>
            </w:r>
          </w:p>
        </w:tc>
        <w:tc>
          <w:tcPr>
            <w:tcW w:w="543"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Min.</w:t>
            </w:r>
          </w:p>
        </w:tc>
        <w:tc>
          <w:tcPr>
            <w:tcW w:w="580"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Max.</w:t>
            </w:r>
          </w:p>
        </w:tc>
        <w:tc>
          <w:tcPr>
            <w:tcW w:w="455" w:type="dxa"/>
            <w:tcBorders>
              <w:top w:val="nil"/>
              <w:left w:val="nil"/>
              <w:bottom w:val="single" w:sz="8" w:space="0" w:color="auto"/>
              <w:right w:val="nil"/>
            </w:tcBorders>
            <w:shd w:val="clear" w:color="auto" w:fill="auto"/>
            <w:noWrap/>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N</w:t>
            </w:r>
          </w:p>
        </w:tc>
      </w:tr>
      <w:tr w:rsidR="009071E3" w:rsidRPr="008B53E5" w:rsidTr="00140941">
        <w:trPr>
          <w:trHeight w:val="331"/>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b/>
                <w:bCs/>
                <w:color w:val="000000"/>
                <w:sz w:val="20"/>
                <w:lang w:eastAsia="de-CH"/>
              </w:rPr>
            </w:pPr>
            <w:r w:rsidRPr="00627861">
              <w:rPr>
                <w:rFonts w:eastAsia="Times New Roman" w:cs="Times New Roman"/>
                <w:b/>
                <w:bCs/>
                <w:color w:val="000000"/>
                <w:sz w:val="20"/>
                <w:lang w:val="en-US" w:eastAsia="de-CH"/>
              </w:rPr>
              <w:t>Income (in 1000)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r>
      <w:tr w:rsidR="009071E3" w:rsidRPr="008B53E5" w:rsidTr="00140941">
        <w:trPr>
          <w:trHeight w:val="331"/>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&lt;25</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0.26</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0.44</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0.13</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0.34</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25-49</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0.22</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0.41</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50-74</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0.21</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0.41</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0.26</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0.44</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75-99</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0.11</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0.19</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100-124</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0.26</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&gt;125</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0.26</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1890</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0.14</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190</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b/>
                <w:bCs/>
                <w:color w:val="000000"/>
                <w:sz w:val="20"/>
                <w:lang w:eastAsia="de-CH"/>
              </w:rPr>
            </w:pPr>
            <w:r w:rsidRPr="00627861">
              <w:rPr>
                <w:rFonts w:eastAsia="Times New Roman" w:cs="Times New Roman"/>
                <w:b/>
                <w:bCs/>
                <w:color w:val="000000"/>
                <w:sz w:val="20"/>
                <w:lang w:val="en-US" w:eastAsia="de-CH"/>
              </w:rPr>
              <w:t>Education</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&lt;High School</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0.05</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0.27</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High School</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Some College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0.29</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0.23</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College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0.15</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0.36</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0.37</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Post Graduate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0.11</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0.25</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0.43</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b/>
                <w:bCs/>
                <w:color w:val="000000"/>
                <w:sz w:val="20"/>
                <w:lang w:eastAsia="de-CH"/>
              </w:rPr>
            </w:pPr>
            <w:r w:rsidRPr="00627861">
              <w:rPr>
                <w:rFonts w:eastAsia="Times New Roman" w:cs="Times New Roman"/>
                <w:b/>
                <w:bCs/>
                <w:color w:val="000000"/>
                <w:sz w:val="20"/>
                <w:lang w:val="en-US" w:eastAsia="de-CH"/>
              </w:rPr>
              <w:t>Employment</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Working</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0.62</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0.46</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15"/>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Retired</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0.19</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Unemployed</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0.1</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0.3</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0.06</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0.24</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b/>
                <w:bCs/>
                <w:color w:val="000000"/>
                <w:sz w:val="20"/>
                <w:lang w:eastAsia="de-CH"/>
              </w:rPr>
            </w:pPr>
            <w:r w:rsidRPr="00627861">
              <w:rPr>
                <w:rFonts w:eastAsia="Times New Roman" w:cs="Times New Roman"/>
                <w:b/>
                <w:bCs/>
                <w:color w:val="000000"/>
                <w:sz w:val="20"/>
                <w:lang w:val="en-US" w:eastAsia="de-CH"/>
              </w:rPr>
              <w:t>Marital Status</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Single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0.08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0.27</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Married</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0.62</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0.77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b/>
                <w:bCs/>
                <w:color w:val="000000"/>
                <w:sz w:val="20"/>
                <w:lang w:eastAsia="de-CH"/>
              </w:rPr>
            </w:pPr>
            <w:r w:rsidRPr="00627861">
              <w:rPr>
                <w:rFonts w:eastAsia="Times New Roman" w:cs="Times New Roman"/>
                <w:b/>
                <w:bCs/>
                <w:color w:val="000000"/>
                <w:sz w:val="20"/>
                <w:lang w:val="en-US" w:eastAsia="de-CH"/>
              </w:rPr>
              <w:t>Others</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Male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0.48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0.57</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0.5</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Age</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46.6</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16.82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109</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45.2</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15.7</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21</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88</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HH Members</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1.4</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1.56</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9</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1893</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1.08</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1.22</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5</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r w:rsidR="009071E3" w:rsidRPr="008B53E5" w:rsidTr="009071E3">
        <w:trPr>
          <w:trHeight w:val="300"/>
          <w:jc w:val="center"/>
        </w:trPr>
        <w:tc>
          <w:tcPr>
            <w:tcW w:w="1743"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Assets</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1.31</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8.21</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100</w:t>
            </w:r>
          </w:p>
        </w:tc>
        <w:tc>
          <w:tcPr>
            <w:tcW w:w="560" w:type="dxa"/>
            <w:tcBorders>
              <w:top w:val="nil"/>
              <w:left w:val="nil"/>
              <w:bottom w:val="nil"/>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1807</w:t>
            </w:r>
          </w:p>
        </w:tc>
        <w:tc>
          <w:tcPr>
            <w:tcW w:w="619"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1.54</w:t>
            </w:r>
          </w:p>
        </w:tc>
        <w:tc>
          <w:tcPr>
            <w:tcW w:w="92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8.19</w:t>
            </w:r>
          </w:p>
        </w:tc>
        <w:tc>
          <w:tcPr>
            <w:tcW w:w="543"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78</w:t>
            </w:r>
          </w:p>
        </w:tc>
        <w:tc>
          <w:tcPr>
            <w:tcW w:w="455" w:type="dxa"/>
            <w:tcBorders>
              <w:top w:val="nil"/>
              <w:left w:val="nil"/>
              <w:bottom w:val="nil"/>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183</w:t>
            </w:r>
          </w:p>
        </w:tc>
      </w:tr>
      <w:tr w:rsidR="009071E3" w:rsidRPr="008B53E5" w:rsidTr="009071E3">
        <w:trPr>
          <w:trHeight w:val="300"/>
          <w:jc w:val="center"/>
        </w:trPr>
        <w:tc>
          <w:tcPr>
            <w:tcW w:w="1743" w:type="dxa"/>
            <w:tcBorders>
              <w:top w:val="nil"/>
              <w:left w:val="nil"/>
              <w:bottom w:val="single" w:sz="8" w:space="0" w:color="auto"/>
              <w:right w:val="single" w:sz="8" w:space="0" w:color="auto"/>
            </w:tcBorders>
            <w:shd w:val="clear" w:color="auto" w:fill="auto"/>
            <w:vAlign w:val="center"/>
            <w:hideMark/>
          </w:tcPr>
          <w:p w:rsidR="00627861" w:rsidRPr="00627861" w:rsidRDefault="00627861" w:rsidP="00223B6D">
            <w:pPr>
              <w:spacing w:line="276" w:lineRule="auto"/>
              <w:jc w:val="left"/>
              <w:rPr>
                <w:rFonts w:eastAsia="Times New Roman" w:cs="Times New Roman"/>
                <w:color w:val="000000"/>
                <w:sz w:val="20"/>
                <w:lang w:eastAsia="de-CH"/>
              </w:rPr>
            </w:pPr>
            <w:r w:rsidRPr="00627861">
              <w:rPr>
                <w:rFonts w:eastAsia="Times New Roman" w:cs="Times New Roman"/>
                <w:color w:val="000000"/>
                <w:sz w:val="20"/>
                <w:lang w:val="en-US" w:eastAsia="de-CH"/>
              </w:rPr>
              <w:t>Cash WD</w:t>
            </w:r>
          </w:p>
        </w:tc>
        <w:tc>
          <w:tcPr>
            <w:tcW w:w="619"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6.15</w:t>
            </w:r>
          </w:p>
        </w:tc>
        <w:tc>
          <w:tcPr>
            <w:tcW w:w="920"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12.31</w:t>
            </w:r>
          </w:p>
        </w:tc>
        <w:tc>
          <w:tcPr>
            <w:tcW w:w="543"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700"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434.8</w:t>
            </w:r>
          </w:p>
        </w:tc>
        <w:tc>
          <w:tcPr>
            <w:tcW w:w="560" w:type="dxa"/>
            <w:tcBorders>
              <w:top w:val="nil"/>
              <w:left w:val="nil"/>
              <w:bottom w:val="single" w:sz="8" w:space="0" w:color="auto"/>
              <w:right w:val="single" w:sz="8" w:space="0" w:color="auto"/>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eastAsia="de-CH"/>
              </w:rPr>
              <w:t>1885</w:t>
            </w:r>
          </w:p>
        </w:tc>
        <w:tc>
          <w:tcPr>
            <w:tcW w:w="619"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3.74</w:t>
            </w:r>
          </w:p>
        </w:tc>
        <w:tc>
          <w:tcPr>
            <w:tcW w:w="920"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3.67</w:t>
            </w:r>
          </w:p>
        </w:tc>
        <w:tc>
          <w:tcPr>
            <w:tcW w:w="543"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0</w:t>
            </w:r>
          </w:p>
        </w:tc>
        <w:tc>
          <w:tcPr>
            <w:tcW w:w="580"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30.4</w:t>
            </w:r>
          </w:p>
        </w:tc>
        <w:tc>
          <w:tcPr>
            <w:tcW w:w="455" w:type="dxa"/>
            <w:tcBorders>
              <w:top w:val="nil"/>
              <w:left w:val="nil"/>
              <w:bottom w:val="single" w:sz="8" w:space="0" w:color="auto"/>
              <w:right w:val="nil"/>
            </w:tcBorders>
            <w:shd w:val="clear" w:color="auto" w:fill="auto"/>
            <w:vAlign w:val="center"/>
            <w:hideMark/>
          </w:tcPr>
          <w:p w:rsidR="00627861" w:rsidRPr="00627861" w:rsidRDefault="00627861" w:rsidP="00223B6D">
            <w:pPr>
              <w:spacing w:line="276" w:lineRule="auto"/>
              <w:jc w:val="center"/>
              <w:rPr>
                <w:rFonts w:eastAsia="Times New Roman" w:cs="Times New Roman"/>
                <w:color w:val="000000"/>
                <w:sz w:val="20"/>
                <w:lang w:eastAsia="de-CH"/>
              </w:rPr>
            </w:pPr>
            <w:r w:rsidRPr="00627861">
              <w:rPr>
                <w:rFonts w:eastAsia="Times New Roman" w:cs="Times New Roman"/>
                <w:color w:val="000000"/>
                <w:sz w:val="20"/>
                <w:lang w:val="en-US" w:eastAsia="de-CH"/>
              </w:rPr>
              <w:t>191</w:t>
            </w:r>
          </w:p>
        </w:tc>
      </w:tr>
    </w:tbl>
    <w:p w:rsidR="00512F1A" w:rsidRPr="00303B04" w:rsidRDefault="009F2BD3" w:rsidP="00223B6D">
      <w:pPr>
        <w:pStyle w:val="Nzev"/>
        <w:spacing w:line="276" w:lineRule="auto"/>
        <w:rPr>
          <w:lang w:val="en-US"/>
        </w:rPr>
      </w:pPr>
      <w:r w:rsidRPr="009F2BD3">
        <w:rPr>
          <w:lang w:val="en-US"/>
        </w:rPr>
        <w:t xml:space="preserve">Note: Survey weights used. Subcategories do not sum to main category due to rounding and weighting. </w:t>
      </w:r>
      <w:proofErr w:type="gramStart"/>
      <w:r w:rsidRPr="009F2BD3">
        <w:rPr>
          <w:lang w:val="en-US"/>
        </w:rPr>
        <w:t>Cash withdrawals (WD) per month.</w:t>
      </w:r>
      <w:proofErr w:type="gramEnd"/>
      <w:r w:rsidRPr="009F2BD3">
        <w:rPr>
          <w:lang w:val="en-US"/>
        </w:rPr>
        <w:t xml:space="preserve"> Assets (in 1000) do not include houses.</w:t>
      </w:r>
    </w:p>
    <w:p w:rsidR="00303B04" w:rsidRPr="00512F1A" w:rsidRDefault="00303B04"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t xml:space="preserve">Contrarily, the sample of contactless debit card adopters is more skewed towards the lower income and education brackets as well as lower wealth status, as high-lighted in Table 5. Approximately 32 percent of innovators earn less than 25000 USD and around 40 percent graduated from high school. Furthermore, they are mostly male, working, younger and single compared to non-innovators. Also, they withdraw cash around twice as much as non-innovators </w:t>
      </w:r>
      <w:r w:rsidR="001916DB">
        <w:rPr>
          <w:lang w:val="en-US" w:eastAsia="de-DE"/>
        </w:rPr>
        <w:t>(10 vs. 5 withdrawals). This refl</w:t>
      </w:r>
      <w:r w:rsidRPr="00512F1A">
        <w:rPr>
          <w:lang w:val="en-US" w:eastAsia="de-DE"/>
        </w:rPr>
        <w:t>ects higher</w:t>
      </w:r>
      <w:r w:rsidR="00D52B5B">
        <w:rPr>
          <w:lang w:val="en-US" w:eastAsia="de-DE"/>
        </w:rPr>
        <w:t xml:space="preserve"> preferences for out-of-the-way</w:t>
      </w:r>
      <w:r w:rsidR="006B0D34">
        <w:rPr>
          <w:lang w:val="en-US" w:eastAsia="de-DE"/>
        </w:rPr>
        <w:t xml:space="preserve"> rather </w:t>
      </w:r>
      <w:r w:rsidRPr="00512F1A">
        <w:rPr>
          <w:lang w:val="en-US" w:eastAsia="de-DE"/>
        </w:rPr>
        <w:t>than credit payments, which cash and debit cards can provide. Contactless debit card holders seem not to adopt contactless payment for the purpose of reducing cash transactions, which could indicate complementarity of cash and debit cards.</w:t>
      </w:r>
    </w:p>
    <w:p w:rsidR="009F2BD3" w:rsidRDefault="009F2BD3" w:rsidP="00223B6D">
      <w:pPr>
        <w:spacing w:line="276" w:lineRule="auto"/>
        <w:jc w:val="left"/>
        <w:rPr>
          <w:lang w:val="en-US" w:eastAsia="de-DE"/>
        </w:rPr>
      </w:pPr>
      <w:r>
        <w:rPr>
          <w:lang w:val="en-US" w:eastAsia="de-DE"/>
        </w:rPr>
        <w:br w:type="page"/>
      </w:r>
    </w:p>
    <w:p w:rsidR="00512F1A" w:rsidRPr="00512F1A" w:rsidRDefault="001F55E5" w:rsidP="00223B6D">
      <w:pPr>
        <w:pStyle w:val="Titulek"/>
        <w:spacing w:line="276" w:lineRule="auto"/>
        <w:rPr>
          <w:lang w:val="en-US" w:eastAsia="de-DE"/>
        </w:rPr>
      </w:pPr>
      <w:r w:rsidRPr="001F55E5">
        <w:rPr>
          <w:lang w:val="en-US"/>
        </w:rPr>
        <w:lastRenderedPageBreak/>
        <w:t xml:space="preserve">Table </w:t>
      </w:r>
      <w:r w:rsidR="006A23B6">
        <w:fldChar w:fldCharType="begin"/>
      </w:r>
      <w:r w:rsidRPr="001F55E5">
        <w:rPr>
          <w:lang w:val="en-US"/>
        </w:rPr>
        <w:instrText xml:space="preserve"> SEQ Table \* ARABIC </w:instrText>
      </w:r>
      <w:r w:rsidR="006A23B6">
        <w:fldChar w:fldCharType="separate"/>
      </w:r>
      <w:r w:rsidR="00E45C4F">
        <w:rPr>
          <w:noProof/>
          <w:lang w:val="en-US"/>
        </w:rPr>
        <w:t>5</w:t>
      </w:r>
      <w:r w:rsidR="006A23B6">
        <w:fldChar w:fldCharType="end"/>
      </w:r>
      <w:r w:rsidRPr="001F55E5">
        <w:rPr>
          <w:lang w:val="en-US"/>
        </w:rPr>
        <w:t>: Sample Summary Statistics of D</w:t>
      </w:r>
      <w:r>
        <w:rPr>
          <w:lang w:val="en-US"/>
        </w:rPr>
        <w:t>ebit</w:t>
      </w:r>
      <w:r w:rsidRPr="001F55E5">
        <w:rPr>
          <w:lang w:val="en-US"/>
        </w:rPr>
        <w:t xml:space="preserve"> Card Adopters</w:t>
      </w:r>
    </w:p>
    <w:tbl>
      <w:tblPr>
        <w:tblW w:w="8240" w:type="dxa"/>
        <w:jc w:val="center"/>
        <w:tblCellMar>
          <w:left w:w="70" w:type="dxa"/>
          <w:right w:w="70" w:type="dxa"/>
        </w:tblCellMar>
        <w:tblLook w:val="04A0"/>
      </w:tblPr>
      <w:tblGrid>
        <w:gridCol w:w="1661"/>
        <w:gridCol w:w="619"/>
        <w:gridCol w:w="920"/>
        <w:gridCol w:w="543"/>
        <w:gridCol w:w="700"/>
        <w:gridCol w:w="560"/>
        <w:gridCol w:w="619"/>
        <w:gridCol w:w="920"/>
        <w:gridCol w:w="543"/>
        <w:gridCol w:w="700"/>
        <w:gridCol w:w="455"/>
      </w:tblGrid>
      <w:tr w:rsidR="00C87C4B" w:rsidRPr="00C87C4B" w:rsidTr="009071E3">
        <w:trPr>
          <w:trHeight w:val="300"/>
          <w:jc w:val="center"/>
        </w:trPr>
        <w:tc>
          <w:tcPr>
            <w:tcW w:w="1661" w:type="dxa"/>
            <w:tcBorders>
              <w:top w:val="nil"/>
              <w:left w:val="nil"/>
              <w:bottom w:val="single" w:sz="8" w:space="0" w:color="115C2E"/>
              <w:right w:val="single" w:sz="8" w:space="0" w:color="auto"/>
            </w:tcBorders>
            <w:shd w:val="clear" w:color="auto" w:fill="auto"/>
            <w:vAlign w:val="center"/>
            <w:hideMark/>
          </w:tcPr>
          <w:p w:rsidR="00C87C4B" w:rsidRPr="00F32FB5" w:rsidRDefault="00C87C4B" w:rsidP="00223B6D">
            <w:pPr>
              <w:spacing w:line="276" w:lineRule="auto"/>
              <w:jc w:val="left"/>
              <w:rPr>
                <w:rFonts w:eastAsia="Times New Roman" w:cs="Times New Roman"/>
                <w:color w:val="000000"/>
                <w:sz w:val="20"/>
                <w:lang w:val="en-US" w:eastAsia="de-CH"/>
              </w:rPr>
            </w:pPr>
            <w:r w:rsidRPr="00C87C4B">
              <w:rPr>
                <w:rFonts w:eastAsia="Times New Roman" w:cs="Times New Roman"/>
                <w:color w:val="000000"/>
                <w:sz w:val="20"/>
                <w:lang w:val="en-US" w:eastAsia="de-CH"/>
              </w:rPr>
              <w:t> </w:t>
            </w:r>
          </w:p>
        </w:tc>
        <w:tc>
          <w:tcPr>
            <w:tcW w:w="3342" w:type="dxa"/>
            <w:gridSpan w:val="5"/>
            <w:tcBorders>
              <w:top w:val="nil"/>
              <w:left w:val="nil"/>
              <w:bottom w:val="single" w:sz="8" w:space="0" w:color="115C2E"/>
              <w:right w:val="single" w:sz="8" w:space="0" w:color="000000"/>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Non-Innovator</w:t>
            </w:r>
          </w:p>
        </w:tc>
        <w:tc>
          <w:tcPr>
            <w:tcW w:w="3237" w:type="dxa"/>
            <w:gridSpan w:val="5"/>
            <w:tcBorders>
              <w:top w:val="nil"/>
              <w:left w:val="nil"/>
              <w:bottom w:val="single" w:sz="8" w:space="0" w:color="115C2E"/>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Innovator</w:t>
            </w:r>
          </w:p>
        </w:tc>
      </w:tr>
      <w:tr w:rsidR="00C87C4B" w:rsidRPr="00C87C4B" w:rsidTr="009071E3">
        <w:trPr>
          <w:trHeight w:val="300"/>
          <w:jc w:val="center"/>
        </w:trPr>
        <w:tc>
          <w:tcPr>
            <w:tcW w:w="1661" w:type="dxa"/>
            <w:tcBorders>
              <w:top w:val="nil"/>
              <w:left w:val="nil"/>
              <w:bottom w:val="single" w:sz="8" w:space="0" w:color="auto"/>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eastAsia="de-CH"/>
              </w:rPr>
              <w:t>Variable</w:t>
            </w:r>
          </w:p>
        </w:tc>
        <w:tc>
          <w:tcPr>
            <w:tcW w:w="619"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proofErr w:type="spellStart"/>
            <w:r w:rsidRPr="00C87C4B">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 xml:space="preserve">Std. </w:t>
            </w:r>
            <w:proofErr w:type="spellStart"/>
            <w:r w:rsidRPr="00C87C4B">
              <w:rPr>
                <w:rFonts w:eastAsia="Times New Roman" w:cs="Times New Roman"/>
                <w:color w:val="000000"/>
                <w:sz w:val="20"/>
                <w:lang w:eastAsia="de-CH"/>
              </w:rPr>
              <w:t>Dev</w:t>
            </w:r>
            <w:proofErr w:type="spellEnd"/>
            <w:r w:rsidRPr="00C87C4B">
              <w:rPr>
                <w:rFonts w:eastAsia="Times New Roman" w:cs="Times New Roman"/>
                <w:color w:val="000000"/>
                <w:sz w:val="20"/>
                <w:lang w:eastAsia="de-CH"/>
              </w:rPr>
              <w:t>.</w:t>
            </w:r>
          </w:p>
        </w:tc>
        <w:tc>
          <w:tcPr>
            <w:tcW w:w="543"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Min.</w:t>
            </w:r>
          </w:p>
        </w:tc>
        <w:tc>
          <w:tcPr>
            <w:tcW w:w="700"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Max.</w:t>
            </w:r>
          </w:p>
        </w:tc>
        <w:tc>
          <w:tcPr>
            <w:tcW w:w="560" w:type="dxa"/>
            <w:tcBorders>
              <w:top w:val="nil"/>
              <w:left w:val="nil"/>
              <w:bottom w:val="single" w:sz="8" w:space="0" w:color="auto"/>
              <w:right w:val="single" w:sz="8" w:space="0" w:color="auto"/>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N</w:t>
            </w:r>
          </w:p>
        </w:tc>
        <w:tc>
          <w:tcPr>
            <w:tcW w:w="619"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proofErr w:type="spellStart"/>
            <w:r w:rsidRPr="00C87C4B">
              <w:rPr>
                <w:rFonts w:eastAsia="Times New Roman" w:cs="Times New Roman"/>
                <w:color w:val="000000"/>
                <w:sz w:val="20"/>
                <w:lang w:eastAsia="de-CH"/>
              </w:rPr>
              <w:t>Mean</w:t>
            </w:r>
            <w:proofErr w:type="spellEnd"/>
          </w:p>
        </w:tc>
        <w:tc>
          <w:tcPr>
            <w:tcW w:w="920"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 xml:space="preserve">Std. </w:t>
            </w:r>
            <w:proofErr w:type="spellStart"/>
            <w:r w:rsidRPr="00C87C4B">
              <w:rPr>
                <w:rFonts w:eastAsia="Times New Roman" w:cs="Times New Roman"/>
                <w:color w:val="000000"/>
                <w:sz w:val="20"/>
                <w:lang w:eastAsia="de-CH"/>
              </w:rPr>
              <w:t>Dev</w:t>
            </w:r>
            <w:proofErr w:type="spellEnd"/>
            <w:r w:rsidRPr="00C87C4B">
              <w:rPr>
                <w:rFonts w:eastAsia="Times New Roman" w:cs="Times New Roman"/>
                <w:color w:val="000000"/>
                <w:sz w:val="20"/>
                <w:lang w:eastAsia="de-CH"/>
              </w:rPr>
              <w:t>.</w:t>
            </w:r>
          </w:p>
        </w:tc>
        <w:tc>
          <w:tcPr>
            <w:tcW w:w="543"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Min.</w:t>
            </w:r>
          </w:p>
        </w:tc>
        <w:tc>
          <w:tcPr>
            <w:tcW w:w="700"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Max.</w:t>
            </w:r>
          </w:p>
        </w:tc>
        <w:tc>
          <w:tcPr>
            <w:tcW w:w="455" w:type="dxa"/>
            <w:tcBorders>
              <w:top w:val="nil"/>
              <w:left w:val="nil"/>
              <w:bottom w:val="single" w:sz="8" w:space="0" w:color="auto"/>
              <w:right w:val="nil"/>
            </w:tcBorders>
            <w:shd w:val="clear" w:color="auto" w:fill="auto"/>
            <w:noWrap/>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N</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b/>
                <w:bCs/>
                <w:color w:val="000000"/>
                <w:sz w:val="20"/>
                <w:lang w:eastAsia="de-CH"/>
              </w:rPr>
            </w:pPr>
            <w:r w:rsidRPr="00C87C4B">
              <w:rPr>
                <w:rFonts w:eastAsia="Times New Roman" w:cs="Times New Roman"/>
                <w:b/>
                <w:bCs/>
                <w:color w:val="000000"/>
                <w:sz w:val="20"/>
                <w:lang w:val="en-US" w:eastAsia="de-CH"/>
              </w:rPr>
              <w:t>Income (in 1000)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&lt;25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0.32</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0.47</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25-49</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0.27</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0.44</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50-74</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0.41</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75-99</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0.33</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0.07</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100-124</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0.27</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0.04</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&gt;125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0.27</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1895</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0.06</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0.23</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b/>
                <w:bCs/>
                <w:color w:val="000000"/>
                <w:sz w:val="20"/>
                <w:lang w:eastAsia="de-CH"/>
              </w:rPr>
            </w:pPr>
            <w:r w:rsidRPr="00C87C4B">
              <w:rPr>
                <w:rFonts w:eastAsia="Times New Roman" w:cs="Times New Roman"/>
                <w:b/>
                <w:bCs/>
                <w:color w:val="000000"/>
                <w:sz w:val="20"/>
                <w:lang w:val="en-US" w:eastAsia="de-CH"/>
              </w:rPr>
              <w:t>Education</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&lt;High School</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0.05</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0.21</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High School</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0.48</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0.44</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Some College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0.29</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College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0.16</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0.36</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Post Graduate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0.34</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0.07</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b/>
                <w:bCs/>
                <w:color w:val="000000"/>
                <w:sz w:val="20"/>
                <w:lang w:eastAsia="de-CH"/>
              </w:rPr>
            </w:pPr>
            <w:r w:rsidRPr="00C87C4B">
              <w:rPr>
                <w:rFonts w:eastAsia="Times New Roman" w:cs="Times New Roman"/>
                <w:b/>
                <w:bCs/>
                <w:color w:val="000000"/>
                <w:sz w:val="20"/>
                <w:lang w:val="en-US" w:eastAsia="de-CH"/>
              </w:rPr>
              <w:t>Employment</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Working</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0.61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0.49</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0.73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15"/>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Retired</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0.31</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Unemployed</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0.09</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0.29</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0.31</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b/>
                <w:bCs/>
                <w:color w:val="000000"/>
                <w:sz w:val="20"/>
                <w:lang w:eastAsia="de-CH"/>
              </w:rPr>
            </w:pPr>
            <w:r w:rsidRPr="00C87C4B">
              <w:rPr>
                <w:rFonts w:eastAsia="Times New Roman" w:cs="Times New Roman"/>
                <w:b/>
                <w:bCs/>
                <w:color w:val="000000"/>
                <w:sz w:val="20"/>
                <w:lang w:val="en-US" w:eastAsia="de-CH"/>
              </w:rPr>
              <w:t>Marital Status</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Single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0.18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0.38</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0.23</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Married</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0.64</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0.48</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0.59</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0.49</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b/>
                <w:bCs/>
                <w:color w:val="000000"/>
                <w:sz w:val="20"/>
                <w:lang w:eastAsia="de-CH"/>
              </w:rPr>
            </w:pPr>
            <w:r w:rsidRPr="00C87C4B">
              <w:rPr>
                <w:rFonts w:eastAsia="Times New Roman" w:cs="Times New Roman"/>
                <w:b/>
                <w:bCs/>
                <w:color w:val="000000"/>
                <w:sz w:val="20"/>
                <w:lang w:val="en-US" w:eastAsia="de-CH"/>
              </w:rPr>
              <w:t>Others</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 </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Male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0.47</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0.56</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Age</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47.2</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16.87</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109</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41.1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14.49</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77</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HH Members</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1.31</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1.5</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9</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1900</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1.79</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1.72</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8</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184</w:t>
            </w:r>
          </w:p>
        </w:tc>
      </w:tr>
      <w:tr w:rsidR="009071E3" w:rsidRPr="008B53E5" w:rsidTr="009071E3">
        <w:trPr>
          <w:trHeight w:val="300"/>
          <w:jc w:val="center"/>
        </w:trPr>
        <w:tc>
          <w:tcPr>
            <w:tcW w:w="1661"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Assets</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1.34</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8.27</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100</w:t>
            </w:r>
          </w:p>
        </w:tc>
        <w:tc>
          <w:tcPr>
            <w:tcW w:w="560" w:type="dxa"/>
            <w:tcBorders>
              <w:top w:val="nil"/>
              <w:left w:val="nil"/>
              <w:bottom w:val="nil"/>
              <w:right w:val="single" w:sz="8" w:space="0" w:color="auto"/>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1818</w:t>
            </w:r>
          </w:p>
        </w:tc>
        <w:tc>
          <w:tcPr>
            <w:tcW w:w="619"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1.28</w:t>
            </w:r>
          </w:p>
        </w:tc>
        <w:tc>
          <w:tcPr>
            <w:tcW w:w="92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7.76</w:t>
            </w:r>
          </w:p>
        </w:tc>
        <w:tc>
          <w:tcPr>
            <w:tcW w:w="543"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80</w:t>
            </w:r>
          </w:p>
        </w:tc>
        <w:tc>
          <w:tcPr>
            <w:tcW w:w="455" w:type="dxa"/>
            <w:tcBorders>
              <w:top w:val="nil"/>
              <w:left w:val="nil"/>
              <w:bottom w:val="nil"/>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172</w:t>
            </w:r>
          </w:p>
        </w:tc>
      </w:tr>
      <w:tr w:rsidR="009071E3" w:rsidRPr="008B53E5" w:rsidTr="009071E3">
        <w:trPr>
          <w:trHeight w:val="300"/>
          <w:jc w:val="center"/>
        </w:trPr>
        <w:tc>
          <w:tcPr>
            <w:tcW w:w="1661" w:type="dxa"/>
            <w:tcBorders>
              <w:top w:val="nil"/>
              <w:left w:val="nil"/>
              <w:bottom w:val="single" w:sz="8" w:space="0" w:color="auto"/>
              <w:right w:val="single" w:sz="8" w:space="0" w:color="auto"/>
            </w:tcBorders>
            <w:shd w:val="clear" w:color="auto" w:fill="auto"/>
            <w:vAlign w:val="center"/>
            <w:hideMark/>
          </w:tcPr>
          <w:p w:rsidR="00C87C4B" w:rsidRPr="00C87C4B" w:rsidRDefault="00C87C4B" w:rsidP="00223B6D">
            <w:pPr>
              <w:spacing w:line="276" w:lineRule="auto"/>
              <w:jc w:val="left"/>
              <w:rPr>
                <w:rFonts w:eastAsia="Times New Roman" w:cs="Times New Roman"/>
                <w:color w:val="000000"/>
                <w:sz w:val="20"/>
                <w:lang w:eastAsia="de-CH"/>
              </w:rPr>
            </w:pPr>
            <w:r w:rsidRPr="00C87C4B">
              <w:rPr>
                <w:rFonts w:eastAsia="Times New Roman" w:cs="Times New Roman"/>
                <w:color w:val="000000"/>
                <w:sz w:val="20"/>
                <w:lang w:val="en-US" w:eastAsia="de-CH"/>
              </w:rPr>
              <w:t>Cash WD</w:t>
            </w:r>
          </w:p>
        </w:tc>
        <w:tc>
          <w:tcPr>
            <w:tcW w:w="619"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5.35</w:t>
            </w:r>
          </w:p>
        </w:tc>
        <w:tc>
          <w:tcPr>
            <w:tcW w:w="920"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9.98</w:t>
            </w:r>
          </w:p>
        </w:tc>
        <w:tc>
          <w:tcPr>
            <w:tcW w:w="543"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1260" w:type="dxa"/>
            <w:gridSpan w:val="2"/>
            <w:tcBorders>
              <w:top w:val="nil"/>
              <w:left w:val="nil"/>
              <w:bottom w:val="single" w:sz="8" w:space="0" w:color="auto"/>
              <w:right w:val="single" w:sz="8" w:space="0" w:color="000000"/>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434.82 1893</w:t>
            </w:r>
          </w:p>
        </w:tc>
        <w:tc>
          <w:tcPr>
            <w:tcW w:w="619"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10.1</w:t>
            </w:r>
          </w:p>
        </w:tc>
        <w:tc>
          <w:tcPr>
            <w:tcW w:w="920"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20.05</w:t>
            </w:r>
          </w:p>
        </w:tc>
        <w:tc>
          <w:tcPr>
            <w:tcW w:w="543"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0</w:t>
            </w:r>
          </w:p>
        </w:tc>
        <w:tc>
          <w:tcPr>
            <w:tcW w:w="700"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val="en-US" w:eastAsia="de-CH"/>
              </w:rPr>
              <w:t>130.5</w:t>
            </w:r>
          </w:p>
        </w:tc>
        <w:tc>
          <w:tcPr>
            <w:tcW w:w="455" w:type="dxa"/>
            <w:tcBorders>
              <w:top w:val="nil"/>
              <w:left w:val="nil"/>
              <w:bottom w:val="single" w:sz="8" w:space="0" w:color="auto"/>
              <w:right w:val="nil"/>
            </w:tcBorders>
            <w:shd w:val="clear" w:color="auto" w:fill="auto"/>
            <w:vAlign w:val="center"/>
            <w:hideMark/>
          </w:tcPr>
          <w:p w:rsidR="00C87C4B" w:rsidRPr="00C87C4B" w:rsidRDefault="00C87C4B" w:rsidP="00223B6D">
            <w:pPr>
              <w:spacing w:line="276" w:lineRule="auto"/>
              <w:jc w:val="center"/>
              <w:rPr>
                <w:rFonts w:eastAsia="Times New Roman" w:cs="Times New Roman"/>
                <w:color w:val="000000"/>
                <w:sz w:val="20"/>
                <w:lang w:eastAsia="de-CH"/>
              </w:rPr>
            </w:pPr>
            <w:r w:rsidRPr="00C87C4B">
              <w:rPr>
                <w:rFonts w:eastAsia="Times New Roman" w:cs="Times New Roman"/>
                <w:color w:val="000000"/>
                <w:sz w:val="20"/>
                <w:lang w:eastAsia="de-CH"/>
              </w:rPr>
              <w:t>184</w:t>
            </w:r>
          </w:p>
        </w:tc>
      </w:tr>
    </w:tbl>
    <w:p w:rsidR="00512F1A" w:rsidRDefault="00593A15" w:rsidP="00223B6D">
      <w:pPr>
        <w:pStyle w:val="Nzev"/>
        <w:spacing w:line="276" w:lineRule="auto"/>
        <w:rPr>
          <w:lang w:val="en-US" w:eastAsia="de-DE"/>
        </w:rPr>
      </w:pPr>
      <w:r w:rsidRPr="00593A15">
        <w:rPr>
          <w:lang w:val="en-US" w:eastAsia="de-DE"/>
        </w:rPr>
        <w:t xml:space="preserve">Note: Survey weights used. Subcategories do not sum to main category due to rounding and weighting. </w:t>
      </w:r>
      <w:proofErr w:type="gramStart"/>
      <w:r w:rsidRPr="00593A15">
        <w:rPr>
          <w:lang w:val="en-US" w:eastAsia="de-DE"/>
        </w:rPr>
        <w:t>Cash withdrawals (WD) per month.</w:t>
      </w:r>
      <w:proofErr w:type="gramEnd"/>
      <w:r w:rsidRPr="00593A15">
        <w:rPr>
          <w:lang w:val="en-US" w:eastAsia="de-DE"/>
        </w:rPr>
        <w:t xml:space="preserve"> Assets (in 1000) do not include houses.</w:t>
      </w:r>
    </w:p>
    <w:p w:rsidR="009F2BD3" w:rsidRDefault="009F2BD3"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Pr</w:t>
      </w:r>
      <w:r w:rsidR="001916DB">
        <w:rPr>
          <w:lang w:val="en-US" w:eastAsia="de-DE"/>
        </w:rPr>
        <w:t>evious studies have found signifi</w:t>
      </w:r>
      <w:r w:rsidRPr="00512F1A">
        <w:rPr>
          <w:lang w:val="en-US" w:eastAsia="de-DE"/>
        </w:rPr>
        <w:t>cant evid</w:t>
      </w:r>
      <w:r w:rsidR="001916DB">
        <w:rPr>
          <w:lang w:val="en-US" w:eastAsia="de-DE"/>
        </w:rPr>
        <w:t>ence that perceptions about pay</w:t>
      </w:r>
      <w:r w:rsidRPr="00512F1A">
        <w:rPr>
          <w:lang w:val="en-US" w:eastAsia="de-DE"/>
        </w:rPr>
        <w:t>ment attributes such as costs, safety and convenience improve the explanation of consumer payment decisions since they largel</w:t>
      </w:r>
      <w:r w:rsidR="001916DB">
        <w:rPr>
          <w:lang w:val="en-US" w:eastAsia="de-DE"/>
        </w:rPr>
        <w:t>y account for unobservable pref</w:t>
      </w:r>
      <w:r w:rsidRPr="00512F1A">
        <w:rPr>
          <w:lang w:val="en-US" w:eastAsia="de-DE"/>
        </w:rPr>
        <w:t xml:space="preserve">erences (e.g. </w:t>
      </w:r>
      <w:proofErr w:type="spellStart"/>
      <w:r w:rsidRPr="00512F1A">
        <w:rPr>
          <w:lang w:val="en-US" w:eastAsia="de-DE"/>
        </w:rPr>
        <w:t>Jonker</w:t>
      </w:r>
      <w:proofErr w:type="spellEnd"/>
      <w:r w:rsidRPr="00512F1A">
        <w:rPr>
          <w:lang w:val="en-US" w:eastAsia="de-DE"/>
        </w:rPr>
        <w:t xml:space="preserve">, 2007; </w:t>
      </w:r>
      <w:proofErr w:type="spellStart"/>
      <w:r w:rsidRPr="00512F1A">
        <w:rPr>
          <w:lang w:val="en-US" w:eastAsia="de-DE"/>
        </w:rPr>
        <w:t>Schuh</w:t>
      </w:r>
      <w:proofErr w:type="spellEnd"/>
      <w:r w:rsidRPr="00512F1A">
        <w:rPr>
          <w:lang w:val="en-US" w:eastAsia="de-DE"/>
        </w:rPr>
        <w:t xml:space="preserve"> and </w:t>
      </w:r>
      <w:proofErr w:type="spellStart"/>
      <w:r w:rsidRPr="00512F1A">
        <w:rPr>
          <w:lang w:val="en-US" w:eastAsia="de-DE"/>
        </w:rPr>
        <w:t>Stavins</w:t>
      </w:r>
      <w:proofErr w:type="spellEnd"/>
      <w:r w:rsidRPr="00512F1A">
        <w:rPr>
          <w:lang w:val="en-US" w:eastAsia="de-DE"/>
        </w:rPr>
        <w:t xml:space="preserve">, 2011). The SCPC explicitly asks respondents to evaluate their perceptions about debit and credit cards in terms of security, setup, acceptance, cost, records and convenience on a categorical scale from one to </w:t>
      </w:r>
      <w:r w:rsidR="001916DB">
        <w:rPr>
          <w:lang w:val="en-US" w:eastAsia="de-DE"/>
        </w:rPr>
        <w:t>fi</w:t>
      </w:r>
      <w:r w:rsidRPr="00512F1A">
        <w:rPr>
          <w:lang w:val="en-US" w:eastAsia="de-DE"/>
        </w:rPr>
        <w:t>ve, where the latter implies the st</w:t>
      </w:r>
      <w:r w:rsidR="001916DB">
        <w:rPr>
          <w:lang w:val="en-US" w:eastAsia="de-DE"/>
        </w:rPr>
        <w:t>rongest view. Innovators in gen</w:t>
      </w:r>
      <w:r w:rsidRPr="00512F1A">
        <w:rPr>
          <w:lang w:val="en-US" w:eastAsia="de-DE"/>
        </w:rPr>
        <w:t>eral rate the six characteristics listed as higher than non-innovators implying that contactless payment might have subtly and positive</w:t>
      </w:r>
      <w:r w:rsidR="001916DB">
        <w:rPr>
          <w:lang w:val="en-US" w:eastAsia="de-DE"/>
        </w:rPr>
        <w:t>ly altered the perception and affi</w:t>
      </w:r>
      <w:r w:rsidRPr="00512F1A">
        <w:rPr>
          <w:lang w:val="en-US" w:eastAsia="de-DE"/>
        </w:rPr>
        <w:t>nity towards these cards (see Table 6). It is</w:t>
      </w:r>
      <w:r w:rsidR="001916DB">
        <w:rPr>
          <w:lang w:val="en-US" w:eastAsia="de-DE"/>
        </w:rPr>
        <w:t xml:space="preserve"> noteworthy that especially con</w:t>
      </w:r>
      <w:r w:rsidRPr="00512F1A">
        <w:rPr>
          <w:lang w:val="en-US" w:eastAsia="de-DE"/>
        </w:rPr>
        <w:t>venience is highly attributed to contactless payment. Costs for debit cards are perceived as lower by innovators than non-innovators in contrast to credit cards, which costs are rated higher by contactless credit card adopters.</w:t>
      </w:r>
    </w:p>
    <w:p w:rsidR="009C6732" w:rsidRDefault="009C6732" w:rsidP="00223B6D">
      <w:pPr>
        <w:spacing w:line="276" w:lineRule="auto"/>
        <w:jc w:val="left"/>
        <w:rPr>
          <w:lang w:val="en-US" w:eastAsia="de-DE"/>
        </w:rPr>
      </w:pPr>
      <w:r>
        <w:rPr>
          <w:lang w:val="en-US" w:eastAsia="de-DE"/>
        </w:rPr>
        <w:br w:type="page"/>
      </w:r>
    </w:p>
    <w:p w:rsidR="009C6732" w:rsidRPr="009C6732" w:rsidRDefault="009C6732" w:rsidP="00223B6D">
      <w:pPr>
        <w:pStyle w:val="Titulek"/>
        <w:spacing w:line="276" w:lineRule="auto"/>
        <w:rPr>
          <w:lang w:val="en-US" w:eastAsia="de-DE"/>
        </w:rPr>
      </w:pPr>
      <w:r w:rsidRPr="009C6732">
        <w:rPr>
          <w:lang w:val="en-US"/>
        </w:rPr>
        <w:lastRenderedPageBreak/>
        <w:t xml:space="preserve">Table </w:t>
      </w:r>
      <w:r w:rsidR="006A23B6">
        <w:rPr>
          <w:lang w:val="en-US"/>
        </w:rPr>
        <w:fldChar w:fldCharType="begin"/>
      </w:r>
      <w:r w:rsidR="0076706F">
        <w:rPr>
          <w:lang w:val="en-US"/>
        </w:rPr>
        <w:instrText xml:space="preserve"> SEQ Table \* ARABIC </w:instrText>
      </w:r>
      <w:r w:rsidR="006A23B6">
        <w:rPr>
          <w:lang w:val="en-US"/>
        </w:rPr>
        <w:fldChar w:fldCharType="separate"/>
      </w:r>
      <w:r w:rsidR="00E45C4F">
        <w:rPr>
          <w:noProof/>
          <w:lang w:val="en-US"/>
        </w:rPr>
        <w:t>6</w:t>
      </w:r>
      <w:r w:rsidR="006A23B6">
        <w:rPr>
          <w:lang w:val="en-US"/>
        </w:rPr>
        <w:fldChar w:fldCharType="end"/>
      </w:r>
      <w:r w:rsidRPr="009C6732">
        <w:rPr>
          <w:lang w:val="en-US"/>
        </w:rPr>
        <w:t>: Statistics of Perceived Characteristics</w:t>
      </w:r>
    </w:p>
    <w:tbl>
      <w:tblPr>
        <w:tblW w:w="7240" w:type="dxa"/>
        <w:jc w:val="center"/>
        <w:tblCellMar>
          <w:left w:w="70" w:type="dxa"/>
          <w:right w:w="70" w:type="dxa"/>
        </w:tblCellMar>
        <w:tblLook w:val="04A0"/>
      </w:tblPr>
      <w:tblGrid>
        <w:gridCol w:w="1185"/>
        <w:gridCol w:w="596"/>
        <w:gridCol w:w="524"/>
        <w:gridCol w:w="540"/>
        <w:gridCol w:w="596"/>
        <w:gridCol w:w="524"/>
        <w:gridCol w:w="440"/>
        <w:gridCol w:w="596"/>
        <w:gridCol w:w="524"/>
        <w:gridCol w:w="540"/>
        <w:gridCol w:w="596"/>
        <w:gridCol w:w="524"/>
        <w:gridCol w:w="440"/>
      </w:tblGrid>
      <w:tr w:rsidR="009071E3" w:rsidRPr="009071E3" w:rsidTr="009071E3">
        <w:trPr>
          <w:trHeight w:val="300"/>
          <w:jc w:val="center"/>
        </w:trPr>
        <w:tc>
          <w:tcPr>
            <w:tcW w:w="1160" w:type="dxa"/>
            <w:tcBorders>
              <w:top w:val="nil"/>
              <w:left w:val="nil"/>
              <w:bottom w:val="single" w:sz="8" w:space="0" w:color="115C2E"/>
              <w:right w:val="single" w:sz="8" w:space="0" w:color="auto"/>
            </w:tcBorders>
            <w:shd w:val="clear" w:color="auto" w:fill="auto"/>
            <w:vAlign w:val="center"/>
            <w:hideMark/>
          </w:tcPr>
          <w:p w:rsidR="009071E3" w:rsidRPr="00F32FB5" w:rsidRDefault="009071E3" w:rsidP="00223B6D">
            <w:pPr>
              <w:spacing w:line="276" w:lineRule="auto"/>
              <w:jc w:val="left"/>
              <w:rPr>
                <w:rFonts w:eastAsia="Times New Roman" w:cs="Times New Roman"/>
                <w:color w:val="000000"/>
                <w:sz w:val="20"/>
                <w:lang w:val="en-US" w:eastAsia="de-CH"/>
              </w:rPr>
            </w:pPr>
            <w:r w:rsidRPr="009071E3">
              <w:rPr>
                <w:rFonts w:eastAsia="Times New Roman" w:cs="Times New Roman"/>
                <w:color w:val="000000"/>
                <w:sz w:val="20"/>
                <w:lang w:val="en-US" w:eastAsia="de-CH"/>
              </w:rPr>
              <w:t> </w:t>
            </w:r>
          </w:p>
        </w:tc>
        <w:tc>
          <w:tcPr>
            <w:tcW w:w="3040" w:type="dxa"/>
            <w:gridSpan w:val="6"/>
            <w:tcBorders>
              <w:top w:val="nil"/>
              <w:left w:val="nil"/>
              <w:bottom w:val="single" w:sz="8" w:space="0" w:color="115C2E"/>
              <w:right w:val="single" w:sz="8" w:space="0" w:color="000000"/>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Credit Cards</w:t>
            </w:r>
          </w:p>
        </w:tc>
        <w:tc>
          <w:tcPr>
            <w:tcW w:w="620" w:type="dxa"/>
            <w:tcBorders>
              <w:top w:val="nil"/>
              <w:left w:val="nil"/>
              <w:bottom w:val="single" w:sz="8" w:space="0" w:color="115C2E"/>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 </w:t>
            </w:r>
          </w:p>
        </w:tc>
        <w:tc>
          <w:tcPr>
            <w:tcW w:w="1560" w:type="dxa"/>
            <w:gridSpan w:val="3"/>
            <w:tcBorders>
              <w:top w:val="nil"/>
              <w:left w:val="nil"/>
              <w:bottom w:val="single" w:sz="8" w:space="0" w:color="115C2E"/>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Debit Cards</w:t>
            </w:r>
          </w:p>
        </w:tc>
        <w:tc>
          <w:tcPr>
            <w:tcW w:w="480" w:type="dxa"/>
            <w:tcBorders>
              <w:top w:val="nil"/>
              <w:left w:val="nil"/>
              <w:bottom w:val="single" w:sz="8" w:space="0" w:color="115C2E"/>
              <w:right w:val="nil"/>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 </w:t>
            </w:r>
          </w:p>
        </w:tc>
        <w:tc>
          <w:tcPr>
            <w:tcW w:w="380" w:type="dxa"/>
            <w:tcBorders>
              <w:top w:val="nil"/>
              <w:left w:val="nil"/>
              <w:bottom w:val="single" w:sz="8" w:space="0" w:color="115C2E"/>
              <w:right w:val="nil"/>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 </w:t>
            </w:r>
          </w:p>
        </w:tc>
      </w:tr>
      <w:tr w:rsidR="009071E3" w:rsidRPr="009071E3" w:rsidTr="009071E3">
        <w:trPr>
          <w:trHeight w:val="315"/>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 </w:t>
            </w:r>
          </w:p>
        </w:tc>
        <w:tc>
          <w:tcPr>
            <w:tcW w:w="1560" w:type="dxa"/>
            <w:gridSpan w:val="3"/>
            <w:tcBorders>
              <w:top w:val="single" w:sz="8" w:space="0" w:color="115C2E"/>
              <w:left w:val="nil"/>
              <w:bottom w:val="single" w:sz="8" w:space="0" w:color="115C2E"/>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NI</w:t>
            </w:r>
          </w:p>
        </w:tc>
        <w:tc>
          <w:tcPr>
            <w:tcW w:w="1480" w:type="dxa"/>
            <w:gridSpan w:val="3"/>
            <w:tcBorders>
              <w:top w:val="single" w:sz="8" w:space="0" w:color="115C2E"/>
              <w:left w:val="single" w:sz="8" w:space="0" w:color="auto"/>
              <w:bottom w:val="single" w:sz="8" w:space="0" w:color="115C2E"/>
              <w:right w:val="single" w:sz="8" w:space="0" w:color="000000"/>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I</w:t>
            </w:r>
          </w:p>
        </w:tc>
        <w:tc>
          <w:tcPr>
            <w:tcW w:w="1560" w:type="dxa"/>
            <w:gridSpan w:val="3"/>
            <w:tcBorders>
              <w:top w:val="single" w:sz="8" w:space="0" w:color="115C2E"/>
              <w:left w:val="nil"/>
              <w:bottom w:val="single" w:sz="8" w:space="0" w:color="115C2E"/>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NI</w:t>
            </w:r>
          </w:p>
        </w:tc>
        <w:tc>
          <w:tcPr>
            <w:tcW w:w="1480" w:type="dxa"/>
            <w:gridSpan w:val="3"/>
            <w:tcBorders>
              <w:top w:val="single" w:sz="8" w:space="0" w:color="115C2E"/>
              <w:left w:val="single" w:sz="8" w:space="0" w:color="auto"/>
              <w:bottom w:val="single" w:sz="8" w:space="0" w:color="115C2E"/>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I</w:t>
            </w:r>
          </w:p>
        </w:tc>
      </w:tr>
      <w:tr w:rsidR="009071E3" w:rsidRPr="008B53E5" w:rsidTr="009071E3">
        <w:trPr>
          <w:trHeight w:val="315"/>
          <w:jc w:val="center"/>
        </w:trPr>
        <w:tc>
          <w:tcPr>
            <w:tcW w:w="1160" w:type="dxa"/>
            <w:tcBorders>
              <w:top w:val="nil"/>
              <w:left w:val="nil"/>
              <w:bottom w:val="single" w:sz="8" w:space="0" w:color="auto"/>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Variable</w:t>
            </w:r>
          </w:p>
        </w:tc>
        <w:tc>
          <w:tcPr>
            <w:tcW w:w="62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 xml:space="preserve">Mean    </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proofErr w:type="spellStart"/>
            <w:r w:rsidRPr="009071E3">
              <w:rPr>
                <w:rFonts w:eastAsia="Times New Roman" w:cs="Times New Roman"/>
                <w:color w:val="000000"/>
                <w:sz w:val="20"/>
                <w:lang w:eastAsia="de-CH"/>
              </w:rPr>
              <w:t>Dev</w:t>
            </w:r>
            <w:proofErr w:type="spellEnd"/>
            <w:r w:rsidRPr="009071E3">
              <w:rPr>
                <w:rFonts w:eastAsia="Times New Roman" w:cs="Times New Roman"/>
                <w:color w:val="000000"/>
                <w:sz w:val="20"/>
                <w:lang w:eastAsia="de-CH"/>
              </w:rPr>
              <w:t>.</w:t>
            </w:r>
          </w:p>
        </w:tc>
        <w:tc>
          <w:tcPr>
            <w:tcW w:w="460" w:type="dxa"/>
            <w:tcBorders>
              <w:top w:val="nil"/>
              <w:left w:val="nil"/>
              <w:bottom w:val="single" w:sz="8" w:space="0" w:color="auto"/>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eastAsia="de-CH"/>
              </w:rPr>
              <w:t>N</w:t>
            </w:r>
          </w:p>
        </w:tc>
        <w:tc>
          <w:tcPr>
            <w:tcW w:w="620" w:type="dxa"/>
            <w:tcBorders>
              <w:top w:val="nil"/>
              <w:left w:val="single" w:sz="8" w:space="0" w:color="auto"/>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 xml:space="preserve">Mean    </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proofErr w:type="spellStart"/>
            <w:r w:rsidRPr="009071E3">
              <w:rPr>
                <w:rFonts w:eastAsia="Times New Roman" w:cs="Times New Roman"/>
                <w:color w:val="000000"/>
                <w:sz w:val="20"/>
                <w:lang w:eastAsia="de-CH"/>
              </w:rPr>
              <w:t>Dev</w:t>
            </w:r>
            <w:proofErr w:type="spellEnd"/>
            <w:r w:rsidRPr="009071E3">
              <w:rPr>
                <w:rFonts w:eastAsia="Times New Roman" w:cs="Times New Roman"/>
                <w:color w:val="000000"/>
                <w:sz w:val="20"/>
                <w:lang w:eastAsia="de-CH"/>
              </w:rPr>
              <w:t>.</w:t>
            </w:r>
          </w:p>
        </w:tc>
        <w:tc>
          <w:tcPr>
            <w:tcW w:w="380" w:type="dxa"/>
            <w:tcBorders>
              <w:top w:val="nil"/>
              <w:left w:val="nil"/>
              <w:bottom w:val="single" w:sz="8" w:space="0" w:color="auto"/>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eastAsia="de-CH"/>
              </w:rPr>
              <w:t>N</w:t>
            </w:r>
          </w:p>
        </w:tc>
        <w:tc>
          <w:tcPr>
            <w:tcW w:w="620" w:type="dxa"/>
            <w:tcBorders>
              <w:top w:val="nil"/>
              <w:left w:val="single" w:sz="8" w:space="0" w:color="auto"/>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 xml:space="preserve">Mean    </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proofErr w:type="spellStart"/>
            <w:r w:rsidRPr="009071E3">
              <w:rPr>
                <w:rFonts w:eastAsia="Times New Roman" w:cs="Times New Roman"/>
                <w:color w:val="000000"/>
                <w:sz w:val="20"/>
                <w:lang w:eastAsia="de-CH"/>
              </w:rPr>
              <w:t>Dev</w:t>
            </w:r>
            <w:proofErr w:type="spellEnd"/>
            <w:r w:rsidRPr="009071E3">
              <w:rPr>
                <w:rFonts w:eastAsia="Times New Roman" w:cs="Times New Roman"/>
                <w:color w:val="000000"/>
                <w:sz w:val="20"/>
                <w:lang w:eastAsia="de-CH"/>
              </w:rPr>
              <w:t>.</w:t>
            </w:r>
          </w:p>
        </w:tc>
        <w:tc>
          <w:tcPr>
            <w:tcW w:w="460" w:type="dxa"/>
            <w:tcBorders>
              <w:top w:val="nil"/>
              <w:left w:val="nil"/>
              <w:bottom w:val="single" w:sz="8" w:space="0" w:color="auto"/>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eastAsia="de-CH"/>
              </w:rPr>
              <w:t>N</w:t>
            </w:r>
          </w:p>
        </w:tc>
        <w:tc>
          <w:tcPr>
            <w:tcW w:w="620" w:type="dxa"/>
            <w:tcBorders>
              <w:top w:val="nil"/>
              <w:left w:val="single" w:sz="8" w:space="0" w:color="auto"/>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 xml:space="preserve">Mean    </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proofErr w:type="spellStart"/>
            <w:r w:rsidRPr="009071E3">
              <w:rPr>
                <w:rFonts w:eastAsia="Times New Roman" w:cs="Times New Roman"/>
                <w:color w:val="000000"/>
                <w:sz w:val="20"/>
                <w:lang w:eastAsia="de-CH"/>
              </w:rPr>
              <w:t>Dev</w:t>
            </w:r>
            <w:proofErr w:type="spellEnd"/>
            <w:r w:rsidRPr="009071E3">
              <w:rPr>
                <w:rFonts w:eastAsia="Times New Roman" w:cs="Times New Roman"/>
                <w:color w:val="000000"/>
                <w:sz w:val="20"/>
                <w:lang w:eastAsia="de-CH"/>
              </w:rPr>
              <w:t>.</w:t>
            </w:r>
          </w:p>
        </w:tc>
        <w:tc>
          <w:tcPr>
            <w:tcW w:w="3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eastAsia="de-CH"/>
              </w:rPr>
              <w:t>N</w:t>
            </w:r>
          </w:p>
        </w:tc>
      </w:tr>
      <w:tr w:rsidR="009071E3" w:rsidRPr="008B53E5" w:rsidTr="009071E3">
        <w:trPr>
          <w:trHeight w:val="300"/>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Security</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3.09</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1.26</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1886</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3.29</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1.27</w:t>
            </w:r>
          </w:p>
        </w:tc>
        <w:tc>
          <w:tcPr>
            <w:tcW w:w="38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191</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3.04</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1.18</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1893</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3.44</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1.29</w:t>
            </w:r>
          </w:p>
        </w:tc>
        <w:tc>
          <w:tcPr>
            <w:tcW w:w="3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182</w:t>
            </w:r>
          </w:p>
        </w:tc>
      </w:tr>
      <w:tr w:rsidR="009071E3" w:rsidRPr="008B53E5" w:rsidTr="009071E3">
        <w:trPr>
          <w:trHeight w:val="300"/>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Setup</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3.69</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1.14</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1889</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3.95</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0.95</w:t>
            </w:r>
          </w:p>
        </w:tc>
        <w:tc>
          <w:tcPr>
            <w:tcW w:w="38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191</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3.97</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0.93</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1894</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4.16</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0.89</w:t>
            </w:r>
          </w:p>
        </w:tc>
        <w:tc>
          <w:tcPr>
            <w:tcW w:w="3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184</w:t>
            </w:r>
          </w:p>
        </w:tc>
      </w:tr>
      <w:tr w:rsidR="009071E3" w:rsidRPr="008B53E5" w:rsidTr="009071E3">
        <w:trPr>
          <w:trHeight w:val="300"/>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Acceptance</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4.44</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0.81</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1889</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4.5</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0.69</w:t>
            </w:r>
          </w:p>
        </w:tc>
        <w:tc>
          <w:tcPr>
            <w:tcW w:w="38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190</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4.32</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0.82</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1893</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4.51</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0.75</w:t>
            </w:r>
          </w:p>
        </w:tc>
        <w:tc>
          <w:tcPr>
            <w:tcW w:w="3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184</w:t>
            </w:r>
          </w:p>
        </w:tc>
      </w:tr>
      <w:tr w:rsidR="009071E3" w:rsidRPr="008B53E5" w:rsidTr="009071E3">
        <w:trPr>
          <w:trHeight w:val="300"/>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Cost</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2.85</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1.35</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1886</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2.93</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1.36</w:t>
            </w:r>
          </w:p>
        </w:tc>
        <w:tc>
          <w:tcPr>
            <w:tcW w:w="38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190</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3.96</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0.98</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1890</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3.73</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1.08</w:t>
            </w:r>
          </w:p>
        </w:tc>
        <w:tc>
          <w:tcPr>
            <w:tcW w:w="3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183</w:t>
            </w:r>
          </w:p>
        </w:tc>
      </w:tr>
      <w:tr w:rsidR="009071E3" w:rsidRPr="008B53E5" w:rsidTr="009071E3">
        <w:trPr>
          <w:trHeight w:val="300"/>
          <w:jc w:val="center"/>
        </w:trPr>
        <w:tc>
          <w:tcPr>
            <w:tcW w:w="116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Records</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4.3</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0.85</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1881</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4.43</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0.76</w:t>
            </w:r>
          </w:p>
        </w:tc>
        <w:tc>
          <w:tcPr>
            <w:tcW w:w="380" w:type="dxa"/>
            <w:tcBorders>
              <w:top w:val="nil"/>
              <w:left w:val="nil"/>
              <w:bottom w:val="nil"/>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190</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4.1</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0.93</w:t>
            </w:r>
          </w:p>
        </w:tc>
        <w:tc>
          <w:tcPr>
            <w:tcW w:w="460" w:type="dxa"/>
            <w:tcBorders>
              <w:top w:val="nil"/>
              <w:left w:val="nil"/>
              <w:bottom w:val="nil"/>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1888</w:t>
            </w:r>
          </w:p>
        </w:tc>
        <w:tc>
          <w:tcPr>
            <w:tcW w:w="62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4.36</w:t>
            </w:r>
          </w:p>
        </w:tc>
        <w:tc>
          <w:tcPr>
            <w:tcW w:w="4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0.68</w:t>
            </w:r>
          </w:p>
        </w:tc>
        <w:tc>
          <w:tcPr>
            <w:tcW w:w="380" w:type="dxa"/>
            <w:tcBorders>
              <w:top w:val="nil"/>
              <w:left w:val="nil"/>
              <w:bottom w:val="nil"/>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184</w:t>
            </w:r>
          </w:p>
        </w:tc>
      </w:tr>
      <w:tr w:rsidR="009071E3" w:rsidRPr="008B53E5" w:rsidTr="009071E3">
        <w:trPr>
          <w:trHeight w:val="300"/>
          <w:jc w:val="center"/>
        </w:trPr>
        <w:tc>
          <w:tcPr>
            <w:tcW w:w="1160" w:type="dxa"/>
            <w:tcBorders>
              <w:top w:val="nil"/>
              <w:left w:val="nil"/>
              <w:bottom w:val="single" w:sz="8" w:space="0" w:color="auto"/>
              <w:right w:val="single" w:sz="8" w:space="0" w:color="auto"/>
            </w:tcBorders>
            <w:shd w:val="clear" w:color="auto" w:fill="auto"/>
            <w:vAlign w:val="center"/>
            <w:hideMark/>
          </w:tcPr>
          <w:p w:rsidR="009071E3" w:rsidRPr="009071E3" w:rsidRDefault="009071E3" w:rsidP="00223B6D">
            <w:pPr>
              <w:spacing w:line="276" w:lineRule="auto"/>
              <w:jc w:val="left"/>
              <w:rPr>
                <w:rFonts w:eastAsia="Times New Roman" w:cs="Times New Roman"/>
                <w:color w:val="000000"/>
                <w:sz w:val="20"/>
                <w:lang w:eastAsia="de-CH"/>
              </w:rPr>
            </w:pPr>
            <w:r w:rsidRPr="009071E3">
              <w:rPr>
                <w:rFonts w:eastAsia="Times New Roman" w:cs="Times New Roman"/>
                <w:color w:val="000000"/>
                <w:sz w:val="20"/>
                <w:lang w:val="en-US" w:eastAsia="de-CH"/>
              </w:rPr>
              <w:t>Convenience</w:t>
            </w:r>
          </w:p>
        </w:tc>
        <w:tc>
          <w:tcPr>
            <w:tcW w:w="62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4.25</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1.02</w:t>
            </w:r>
          </w:p>
        </w:tc>
        <w:tc>
          <w:tcPr>
            <w:tcW w:w="460" w:type="dxa"/>
            <w:tcBorders>
              <w:top w:val="nil"/>
              <w:left w:val="nil"/>
              <w:bottom w:val="single" w:sz="8" w:space="0" w:color="auto"/>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1884</w:t>
            </w:r>
          </w:p>
        </w:tc>
        <w:tc>
          <w:tcPr>
            <w:tcW w:w="62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4.49</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0.79</w:t>
            </w:r>
          </w:p>
        </w:tc>
        <w:tc>
          <w:tcPr>
            <w:tcW w:w="380" w:type="dxa"/>
            <w:tcBorders>
              <w:top w:val="nil"/>
              <w:left w:val="nil"/>
              <w:bottom w:val="single" w:sz="8" w:space="0" w:color="auto"/>
              <w:right w:val="single" w:sz="8" w:space="0" w:color="auto"/>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191</w:t>
            </w:r>
          </w:p>
        </w:tc>
        <w:tc>
          <w:tcPr>
            <w:tcW w:w="62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4.27</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0.97</w:t>
            </w:r>
          </w:p>
        </w:tc>
        <w:tc>
          <w:tcPr>
            <w:tcW w:w="460" w:type="dxa"/>
            <w:tcBorders>
              <w:top w:val="nil"/>
              <w:left w:val="nil"/>
              <w:bottom w:val="single" w:sz="8" w:space="0" w:color="auto"/>
              <w:right w:val="single" w:sz="8" w:space="0" w:color="115C2E"/>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1891</w:t>
            </w:r>
          </w:p>
        </w:tc>
        <w:tc>
          <w:tcPr>
            <w:tcW w:w="62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4.49</w:t>
            </w:r>
          </w:p>
        </w:tc>
        <w:tc>
          <w:tcPr>
            <w:tcW w:w="4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0.93</w:t>
            </w:r>
          </w:p>
        </w:tc>
        <w:tc>
          <w:tcPr>
            <w:tcW w:w="380" w:type="dxa"/>
            <w:tcBorders>
              <w:top w:val="nil"/>
              <w:left w:val="nil"/>
              <w:bottom w:val="single" w:sz="8" w:space="0" w:color="auto"/>
              <w:right w:val="nil"/>
            </w:tcBorders>
            <w:shd w:val="clear" w:color="auto" w:fill="auto"/>
            <w:vAlign w:val="center"/>
            <w:hideMark/>
          </w:tcPr>
          <w:p w:rsidR="009071E3" w:rsidRPr="009071E3" w:rsidRDefault="009071E3" w:rsidP="00223B6D">
            <w:pPr>
              <w:spacing w:line="276" w:lineRule="auto"/>
              <w:jc w:val="center"/>
              <w:rPr>
                <w:rFonts w:eastAsia="Times New Roman" w:cs="Times New Roman"/>
                <w:color w:val="000000"/>
                <w:sz w:val="20"/>
                <w:lang w:eastAsia="de-CH"/>
              </w:rPr>
            </w:pPr>
            <w:r w:rsidRPr="009071E3">
              <w:rPr>
                <w:rFonts w:eastAsia="Times New Roman" w:cs="Times New Roman"/>
                <w:color w:val="000000"/>
                <w:sz w:val="20"/>
                <w:lang w:val="en-US" w:eastAsia="de-CH"/>
              </w:rPr>
              <w:t>184</w:t>
            </w:r>
          </w:p>
        </w:tc>
      </w:tr>
    </w:tbl>
    <w:p w:rsidR="00512F1A" w:rsidRDefault="009C6732" w:rsidP="00223B6D">
      <w:pPr>
        <w:pStyle w:val="Nzev"/>
        <w:spacing w:line="276" w:lineRule="auto"/>
        <w:rPr>
          <w:lang w:val="en-US" w:eastAsia="de-DE"/>
        </w:rPr>
      </w:pPr>
      <w:r w:rsidRPr="009C6732">
        <w:rPr>
          <w:lang w:val="en-US" w:eastAsia="de-DE"/>
        </w:rPr>
        <w:t xml:space="preserve">Note: Survey weights used. The perceived characteristics are measured with a Likert scale ranging from one to </w:t>
      </w:r>
      <w:r>
        <w:rPr>
          <w:lang w:val="en-US" w:eastAsia="de-DE"/>
        </w:rPr>
        <w:t>fi</w:t>
      </w:r>
      <w:r w:rsidRPr="009C6732">
        <w:rPr>
          <w:lang w:val="en-US" w:eastAsia="de-DE"/>
        </w:rPr>
        <w:t xml:space="preserve">ve representing </w:t>
      </w:r>
      <w:r>
        <w:rPr>
          <w:lang w:val="en-US" w:eastAsia="de-DE"/>
        </w:rPr>
        <w:t>fi</w:t>
      </w:r>
      <w:r w:rsidRPr="009C6732">
        <w:rPr>
          <w:lang w:val="en-US" w:eastAsia="de-DE"/>
        </w:rPr>
        <w:t>ve the strongest view. Dev. refers to standard deviation.</w:t>
      </w:r>
    </w:p>
    <w:p w:rsidR="009C6732" w:rsidRDefault="009C6732"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 xml:space="preserve">The perceived characteristics of credit and debit cards are constructed for the purpose of this paper as the average of each respondent's perception relative to all other payment methods at the POS similar to the procedure in </w:t>
      </w:r>
      <w:proofErr w:type="spellStart"/>
      <w:r w:rsidRPr="00512F1A">
        <w:rPr>
          <w:lang w:val="en-US" w:eastAsia="de-DE"/>
        </w:rPr>
        <w:t>Schuh</w:t>
      </w:r>
      <w:proofErr w:type="spellEnd"/>
      <w:r w:rsidRPr="00512F1A">
        <w:rPr>
          <w:lang w:val="en-US" w:eastAsia="de-DE"/>
        </w:rPr>
        <w:t xml:space="preserve"> and </w:t>
      </w:r>
      <w:proofErr w:type="spellStart"/>
      <w:r w:rsidRPr="00512F1A">
        <w:rPr>
          <w:lang w:val="en-US" w:eastAsia="de-DE"/>
        </w:rPr>
        <w:t>Stavins</w:t>
      </w:r>
      <w:proofErr w:type="spellEnd"/>
      <w:r w:rsidRPr="00512F1A">
        <w:rPr>
          <w:lang w:val="en-US" w:eastAsia="de-DE"/>
        </w:rPr>
        <w:t xml:space="preserve"> (2011) and </w:t>
      </w:r>
      <w:proofErr w:type="spellStart"/>
      <w:r w:rsidRPr="00512F1A">
        <w:rPr>
          <w:lang w:val="en-US" w:eastAsia="de-DE"/>
        </w:rPr>
        <w:t>Arango</w:t>
      </w:r>
      <w:proofErr w:type="spellEnd"/>
      <w:r w:rsidRPr="00512F1A">
        <w:rPr>
          <w:lang w:val="en-US" w:eastAsia="de-DE"/>
        </w:rPr>
        <w:t xml:space="preserve"> et al. (2011). It is calculated as</w:t>
      </w:r>
    </w:p>
    <w:p w:rsidR="00836476" w:rsidRDefault="00836476" w:rsidP="00223B6D">
      <w:pPr>
        <w:spacing w:line="276" w:lineRule="auto"/>
        <w:rPr>
          <w:lang w:val="en-US" w:eastAsia="de-DE"/>
        </w:rPr>
      </w:pPr>
    </w:p>
    <w:p w:rsidR="001916DB" w:rsidRPr="00512F1A" w:rsidRDefault="006A23B6" w:rsidP="00223B6D">
      <w:pPr>
        <w:spacing w:line="276" w:lineRule="auto"/>
        <w:rPr>
          <w:lang w:val="en-US" w:eastAsia="de-DE"/>
        </w:rPr>
      </w:pPr>
      <m:oMathPara>
        <m:oMath>
          <m:sSub>
            <m:sSubPr>
              <m:ctrlPr>
                <w:rPr>
                  <w:rFonts w:ascii="Cambria Math" w:hAnsi="Cambria Math" w:cs="Cambria Math"/>
                  <w:lang w:val="en-US" w:eastAsia="de-DE"/>
                </w:rPr>
              </m:ctrlPr>
            </m:sSubPr>
            <m:e>
              <m:r>
                <w:rPr>
                  <w:rFonts w:ascii="Cambria Math" w:hAnsi="Cambria Math" w:cs="Cambria Math"/>
                  <w:lang w:val="en-US" w:eastAsia="de-DE"/>
                </w:rPr>
                <m:t>RCHAR</m:t>
              </m:r>
            </m:e>
            <m:sub>
              <m:r>
                <w:rPr>
                  <w:rFonts w:ascii="Cambria Math" w:hAnsi="Cambria Math" w:cs="Cambria Math"/>
                  <w:lang w:val="en-US" w:eastAsia="de-DE"/>
                </w:rPr>
                <m:t>kij</m:t>
              </m:r>
            </m:sub>
          </m:sSub>
          <m:r>
            <m:rPr>
              <m:sty m:val="p"/>
            </m:rPr>
            <w:rPr>
              <w:rFonts w:ascii="Cambria Math" w:hAnsi="Cambria Math" w:cs="Cambria Math"/>
              <w:lang w:val="en-US" w:eastAsia="de-DE"/>
            </w:rPr>
            <m:t>=</m:t>
          </m:r>
          <m:f>
            <m:fPr>
              <m:ctrlPr>
                <w:rPr>
                  <w:rFonts w:ascii="Cambria Math" w:hAnsi="Cambria Math"/>
                  <w:lang w:val="en-US" w:eastAsia="de-DE"/>
                </w:rPr>
              </m:ctrlPr>
            </m:fPr>
            <m:num>
              <m:sSub>
                <m:sSubPr>
                  <m:ctrlPr>
                    <w:rPr>
                      <w:rFonts w:ascii="Cambria Math" w:hAnsi="Cambria Math" w:cs="Cambria Math"/>
                      <w:lang w:val="en-US" w:eastAsia="de-DE"/>
                    </w:rPr>
                  </m:ctrlPr>
                </m:sSubPr>
                <m:e>
                  <m:r>
                    <w:rPr>
                      <w:rFonts w:ascii="Cambria Math" w:hAnsi="Cambria Math" w:cs="Cambria Math"/>
                      <w:lang w:val="en-US" w:eastAsia="de-DE"/>
                    </w:rPr>
                    <m:t>CHAR</m:t>
                  </m:r>
                </m:e>
                <m:sub>
                  <m:r>
                    <w:rPr>
                      <w:rFonts w:ascii="Cambria Math" w:hAnsi="Cambria Math" w:cs="Cambria Math"/>
                      <w:lang w:val="en-US" w:eastAsia="de-DE"/>
                    </w:rPr>
                    <m:t>kij</m:t>
                  </m:r>
                </m:sub>
              </m:sSub>
            </m:num>
            <m:den>
              <m:sSub>
                <m:sSubPr>
                  <m:ctrlPr>
                    <w:rPr>
                      <w:rFonts w:ascii="Cambria Math" w:hAnsi="Cambria Math" w:cs="Cambria Math"/>
                      <w:lang w:val="en-US" w:eastAsia="de-DE"/>
                    </w:rPr>
                  </m:ctrlPr>
                </m:sSubPr>
                <m:e>
                  <m:r>
                    <w:rPr>
                      <w:rFonts w:ascii="Cambria Math" w:hAnsi="Cambria Math" w:cs="Cambria Math"/>
                      <w:lang w:val="en-US" w:eastAsia="de-DE"/>
                    </w:rPr>
                    <m:t>CHAR</m:t>
                  </m:r>
                </m:e>
                <m:sub>
                  <m:r>
                    <w:rPr>
                      <w:rFonts w:ascii="Cambria Math" w:hAnsi="Cambria Math" w:cs="Cambria Math"/>
                      <w:lang w:val="en-US" w:eastAsia="de-DE"/>
                    </w:rPr>
                    <m:t>ki</m:t>
                  </m:r>
                  <m:sSup>
                    <m:sSupPr>
                      <m:ctrlPr>
                        <w:rPr>
                          <w:rFonts w:ascii="Cambria Math" w:hAnsi="Cambria Math" w:cs="Cambria Math"/>
                          <w:i/>
                          <w:lang w:val="en-US" w:eastAsia="de-DE"/>
                        </w:rPr>
                      </m:ctrlPr>
                    </m:sSupPr>
                    <m:e>
                      <m:r>
                        <w:rPr>
                          <w:rFonts w:ascii="Cambria Math" w:hAnsi="Cambria Math" w:cs="Cambria Math"/>
                          <w:lang w:val="en-US" w:eastAsia="de-DE"/>
                        </w:rPr>
                        <m:t>j</m:t>
                      </m:r>
                    </m:e>
                    <m:sup>
                      <m:r>
                        <w:rPr>
                          <w:rFonts w:ascii="Cambria Math" w:hAnsi="Cambria Math" w:cs="Cambria Math"/>
                          <w:lang w:val="en-US" w:eastAsia="de-DE"/>
                        </w:rPr>
                        <m:t>'</m:t>
                      </m:r>
                    </m:sup>
                  </m:sSup>
                </m:sub>
              </m:sSub>
            </m:den>
          </m:f>
        </m:oMath>
      </m:oMathPara>
    </w:p>
    <w:p w:rsidR="00836476" w:rsidRDefault="00836476" w:rsidP="00223B6D">
      <w:pPr>
        <w:spacing w:line="276" w:lineRule="auto"/>
        <w:rPr>
          <w:lang w:val="en-US" w:eastAsia="de-DE"/>
        </w:rPr>
      </w:pPr>
    </w:p>
    <w:p w:rsidR="00512F1A" w:rsidRPr="00512F1A" w:rsidRDefault="00512F1A" w:rsidP="00223B6D">
      <w:pPr>
        <w:spacing w:line="276" w:lineRule="auto"/>
        <w:rPr>
          <w:lang w:val="en-US" w:eastAsia="de-DE"/>
        </w:rPr>
      </w:pPr>
      <w:r w:rsidRPr="00512F1A">
        <w:rPr>
          <w:lang w:val="en-US" w:eastAsia="de-DE"/>
        </w:rPr>
        <w:t xml:space="preserve">where k describes the six characteristics such as security, setup, acceptance, cost, records and convenience, </w:t>
      </w:r>
      <w:proofErr w:type="spellStart"/>
      <w:r w:rsidRPr="00512F1A">
        <w:rPr>
          <w:lang w:val="en-US" w:eastAsia="de-DE"/>
        </w:rPr>
        <w:t>i</w:t>
      </w:r>
      <w:proofErr w:type="spellEnd"/>
      <w:r w:rsidRPr="00512F1A">
        <w:rPr>
          <w:lang w:val="en-US" w:eastAsia="de-DE"/>
        </w:rPr>
        <w:t xml:space="preserve"> indexes the consumer,</w:t>
      </w:r>
      <w:r w:rsidR="00836476">
        <w:rPr>
          <w:lang w:val="en-US" w:eastAsia="de-DE"/>
        </w:rPr>
        <w:t xml:space="preserve"> j relates to the payment instru</w:t>
      </w:r>
      <w:r w:rsidRPr="00512F1A">
        <w:rPr>
          <w:lang w:val="en-US" w:eastAsia="de-DE"/>
        </w:rPr>
        <w:t>ment debit or credit card and j' is every other payment instrument besides j that is commonly used at the</w:t>
      </w:r>
      <w:r>
        <w:rPr>
          <w:lang w:val="en-US" w:eastAsia="de-DE"/>
        </w:rPr>
        <w:t xml:space="preserve"> POS.</w:t>
      </w:r>
      <w:r>
        <w:rPr>
          <w:rStyle w:val="Znakapoznpodarou"/>
          <w:lang w:val="en-US" w:eastAsia="de-DE"/>
        </w:rPr>
        <w:footnoteReference w:id="12"/>
      </w:r>
      <w:r w:rsidRPr="00512F1A">
        <w:rPr>
          <w:lang w:val="en-US" w:eastAsia="de-DE"/>
        </w:rPr>
        <w:t xml:space="preserve"> The construction is applied to every consumer regardless of the adoption stage of the payment</w:t>
      </w:r>
      <w:r w:rsidR="00836476">
        <w:rPr>
          <w:lang w:val="en-US" w:eastAsia="de-DE"/>
        </w:rPr>
        <w:t xml:space="preserve"> methods. This allows </w:t>
      </w:r>
      <w:r w:rsidR="009E3E31">
        <w:rPr>
          <w:lang w:val="en-US" w:eastAsia="de-DE"/>
        </w:rPr>
        <w:t>normalizing</w:t>
      </w:r>
      <w:r w:rsidRPr="00512F1A">
        <w:rPr>
          <w:lang w:val="en-US" w:eastAsia="de-DE"/>
        </w:rPr>
        <w:t xml:space="preserve"> the perception of a particular attribute by the individual's overall absolute perceived levels of satisfaction across p</w:t>
      </w:r>
      <w:r w:rsidR="00836476">
        <w:rPr>
          <w:lang w:val="en-US" w:eastAsia="de-DE"/>
        </w:rPr>
        <w:t>ayments at the POS (</w:t>
      </w:r>
      <w:proofErr w:type="spellStart"/>
      <w:r w:rsidRPr="00512F1A">
        <w:rPr>
          <w:lang w:val="en-US" w:eastAsia="de-DE"/>
        </w:rPr>
        <w:t>Arango</w:t>
      </w:r>
      <w:proofErr w:type="spellEnd"/>
      <w:r w:rsidRPr="00512F1A">
        <w:rPr>
          <w:lang w:val="en-US" w:eastAsia="de-DE"/>
        </w:rPr>
        <w:t xml:space="preserve"> et al., 2011).</w:t>
      </w:r>
    </w:p>
    <w:p w:rsidR="00512F1A" w:rsidRPr="00512F1A" w:rsidRDefault="00512F1A" w:rsidP="00223B6D">
      <w:pPr>
        <w:spacing w:line="276" w:lineRule="auto"/>
        <w:rPr>
          <w:lang w:val="en-US" w:eastAsia="de-DE"/>
        </w:rPr>
      </w:pPr>
    </w:p>
    <w:p w:rsidR="00512F1A" w:rsidRDefault="00512F1A" w:rsidP="00223B6D">
      <w:pPr>
        <w:spacing w:line="276" w:lineRule="auto"/>
        <w:rPr>
          <w:lang w:val="en-US" w:eastAsia="de-DE"/>
        </w:rPr>
      </w:pPr>
      <w:r w:rsidRPr="00512F1A">
        <w:rPr>
          <w:lang w:val="en-US" w:eastAsia="de-DE"/>
        </w:rPr>
        <w:t>To conclude, the descriptive statistics distinguished by in</w:t>
      </w:r>
      <w:r w:rsidR="006C0DB0">
        <w:rPr>
          <w:lang w:val="en-US" w:eastAsia="de-DE"/>
        </w:rPr>
        <w:t>novators and non-innovators, defi</w:t>
      </w:r>
      <w:r w:rsidRPr="00512F1A">
        <w:rPr>
          <w:lang w:val="en-US" w:eastAsia="de-DE"/>
        </w:rPr>
        <w:t>ned by the adoption of contactless payment either f</w:t>
      </w:r>
      <w:r w:rsidR="00836476">
        <w:rPr>
          <w:lang w:val="en-US" w:eastAsia="de-DE"/>
        </w:rPr>
        <w:t>or credit or debit cards, has off</w:t>
      </w:r>
      <w:r w:rsidRPr="00512F1A">
        <w:rPr>
          <w:lang w:val="en-US" w:eastAsia="de-DE"/>
        </w:rPr>
        <w:t>ered some suggestive evidence that contactless payment leads to increased spending at the POS. Also, there is strong evidence that individuals do not randomly adopt the contactless payment innovation because some distinct adoption patterns between innovators and non-innovators are observable. Lastly, the perception of attributed characteristics tow</w:t>
      </w:r>
      <w:r w:rsidR="00836476">
        <w:rPr>
          <w:lang w:val="en-US" w:eastAsia="de-DE"/>
        </w:rPr>
        <w:t>ards credit and debit cards ana</w:t>
      </w:r>
      <w:r w:rsidRPr="00512F1A">
        <w:rPr>
          <w:lang w:val="en-US" w:eastAsia="de-DE"/>
        </w:rPr>
        <w:t xml:space="preserve">lyzed separately for </w:t>
      </w:r>
      <w:r w:rsidR="006C0DB0">
        <w:rPr>
          <w:lang w:val="en-US" w:eastAsia="de-DE"/>
        </w:rPr>
        <w:t>innovators and non-innovators rai</w:t>
      </w:r>
      <w:r w:rsidRPr="00512F1A">
        <w:rPr>
          <w:lang w:val="en-US" w:eastAsia="de-DE"/>
        </w:rPr>
        <w:t xml:space="preserve">ses issues about </w:t>
      </w:r>
      <w:proofErr w:type="spellStart"/>
      <w:r w:rsidRPr="00512F1A">
        <w:rPr>
          <w:lang w:val="en-US" w:eastAsia="de-DE"/>
        </w:rPr>
        <w:t>endogeneity</w:t>
      </w:r>
      <w:proofErr w:type="spellEnd"/>
      <w:r w:rsidRPr="00512F1A">
        <w:rPr>
          <w:lang w:val="en-US" w:eastAsia="de-DE"/>
        </w:rPr>
        <w:t xml:space="preserve"> since positively attributed experiences of</w:t>
      </w:r>
      <w:r w:rsidR="00836476">
        <w:rPr>
          <w:lang w:val="en-US" w:eastAsia="de-DE"/>
        </w:rPr>
        <w:t xml:space="preserve"> contactless payment may have aff</w:t>
      </w:r>
      <w:r w:rsidRPr="00512F1A">
        <w:rPr>
          <w:lang w:val="en-US" w:eastAsia="de-DE"/>
        </w:rPr>
        <w:t>ected its usage. The next section shall outline my empirical strategy to estimate the causal relationship of contactless payment on spending.</w:t>
      </w:r>
    </w:p>
    <w:p w:rsidR="00512F1A" w:rsidRDefault="00512F1A"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512F1A" w:rsidRDefault="00512F1A" w:rsidP="00223B6D">
      <w:pPr>
        <w:pStyle w:val="Nadpis1"/>
        <w:spacing w:line="276" w:lineRule="auto"/>
        <w:rPr>
          <w:lang w:val="en-US" w:eastAsia="de-DE"/>
        </w:rPr>
      </w:pPr>
      <w:r>
        <w:rPr>
          <w:lang w:val="en-US" w:eastAsia="de-DE"/>
        </w:rPr>
        <w:lastRenderedPageBreak/>
        <w:t>Methodology</w:t>
      </w:r>
    </w:p>
    <w:p w:rsidR="00512F1A" w:rsidRDefault="00512F1A" w:rsidP="00223B6D">
      <w:pPr>
        <w:pStyle w:val="Nadpis2"/>
        <w:spacing w:line="276" w:lineRule="auto"/>
        <w:rPr>
          <w:lang w:val="en-US" w:eastAsia="de-DE"/>
        </w:rPr>
      </w:pPr>
      <w:r w:rsidRPr="00512F1A">
        <w:rPr>
          <w:lang w:val="en-US" w:eastAsia="de-DE"/>
        </w:rPr>
        <w:t>Identifying Assumptions</w:t>
      </w:r>
    </w:p>
    <w:p w:rsidR="00084871" w:rsidRDefault="00084871" w:rsidP="00223B6D">
      <w:pPr>
        <w:spacing w:line="276" w:lineRule="auto"/>
        <w:rPr>
          <w:lang w:val="en-US" w:eastAsia="de-DE"/>
        </w:rPr>
      </w:pPr>
      <w:r w:rsidRPr="00084871">
        <w:rPr>
          <w:lang w:val="en-US" w:eastAsia="de-DE"/>
        </w:rPr>
        <w:t>To estimate the relationship between contactless payment and the spending ratio one can use standard OLS regression:</w:t>
      </w:r>
    </w:p>
    <w:p w:rsidR="00237475" w:rsidRDefault="00237475" w:rsidP="00223B6D">
      <w:pPr>
        <w:spacing w:line="276" w:lineRule="auto"/>
        <w:rPr>
          <w:lang w:val="en-US" w:eastAsia="de-DE"/>
        </w:rPr>
      </w:pPr>
    </w:p>
    <w:p w:rsidR="00237475" w:rsidRDefault="006A23B6" w:rsidP="00223B6D">
      <w:pPr>
        <w:spacing w:line="276" w:lineRule="auto"/>
        <w:rPr>
          <w:lang w:val="en-US" w:eastAsia="de-DE"/>
        </w:rPr>
      </w:pPr>
      <m:oMathPara>
        <m:oMath>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r>
            <w:rPr>
              <w:rFonts w:ascii="Cambria Math" w:hAnsi="Cambria Math"/>
              <w:lang w:val="en-US" w:eastAsia="de-DE"/>
            </w:rPr>
            <m:t>= α</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ε</m:t>
              </m:r>
            </m:e>
            <m:sub>
              <m:r>
                <w:rPr>
                  <w:rFonts w:ascii="Cambria Math" w:hAnsi="Cambria Math"/>
                  <w:lang w:val="en-US" w:eastAsia="de-DE"/>
                </w:rPr>
                <m:t>i</m:t>
              </m:r>
            </m:sub>
          </m:sSub>
        </m:oMath>
      </m:oMathPara>
    </w:p>
    <w:p w:rsidR="00084871" w:rsidRDefault="00084871" w:rsidP="00223B6D">
      <w:pPr>
        <w:spacing w:line="276" w:lineRule="auto"/>
        <w:rPr>
          <w:lang w:val="en-US" w:eastAsia="de-DE"/>
        </w:rPr>
      </w:pPr>
    </w:p>
    <w:p w:rsidR="00084871" w:rsidRPr="00084871" w:rsidRDefault="00237475" w:rsidP="00223B6D">
      <w:pPr>
        <w:spacing w:line="276" w:lineRule="auto"/>
        <w:rPr>
          <w:lang w:val="en-US" w:eastAsia="de-DE"/>
        </w:rPr>
      </w:pPr>
      <w:r>
        <w:rPr>
          <w:lang w:val="en-US" w:eastAsia="de-DE"/>
        </w:rPr>
        <w:t xml:space="preserve">where </w:t>
      </w:r>
      <m:oMath>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oMath>
      <w:r w:rsidR="00084871" w:rsidRPr="00084871">
        <w:rPr>
          <w:lang w:val="en-US" w:eastAsia="de-DE"/>
        </w:rPr>
        <w:t xml:space="preserve"> is the share of transactions of individual </w:t>
      </w:r>
      <w:proofErr w:type="spellStart"/>
      <w:r w:rsidR="00084871" w:rsidRPr="00084871">
        <w:rPr>
          <w:lang w:val="en-US" w:eastAsia="de-DE"/>
        </w:rPr>
        <w:t>i</w:t>
      </w:r>
      <w:proofErr w:type="spellEnd"/>
      <w:r w:rsidR="00084871" w:rsidRPr="00084871">
        <w:rPr>
          <w:lang w:val="en-US" w:eastAsia="de-DE"/>
        </w:rPr>
        <w:t xml:space="preserve"> for payment method j, where j relates to debit or credit cards, relative to every other payment instrument</w:t>
      </w:r>
      <w:r w:rsidR="00084871">
        <w:rPr>
          <w:lang w:val="en-US" w:eastAsia="de-DE"/>
        </w:rPr>
        <w:t xml:space="preserve"> </w:t>
      </w:r>
      <w:r w:rsidR="00084871" w:rsidRPr="00084871">
        <w:rPr>
          <w:lang w:val="en-US" w:eastAsia="de-DE"/>
        </w:rPr>
        <w:t xml:space="preserve">j' besides j that is commonly used at the POS,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00084871" w:rsidRPr="00084871">
        <w:rPr>
          <w:lang w:val="en-US" w:eastAsia="de-DE"/>
        </w:rPr>
        <w:t xml:space="preserve"> takes the value of one if the individual is an innovator, i.e. a contactless payment adopter for payment method j,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00084871" w:rsidRPr="00084871">
        <w:rPr>
          <w:lang w:val="en-US" w:eastAsia="de-DE"/>
        </w:rPr>
        <w:t xml:space="preserve"> are the observed characteristics for individual i and </w:t>
      </w:r>
      <m:oMath>
        <m:sSub>
          <m:sSubPr>
            <m:ctrlPr>
              <w:rPr>
                <w:rFonts w:ascii="Cambria Math" w:hAnsi="Cambria Math"/>
                <w:i/>
                <w:lang w:val="en-US" w:eastAsia="de-DE"/>
              </w:rPr>
            </m:ctrlPr>
          </m:sSubPr>
          <m:e>
            <m:r>
              <w:rPr>
                <w:rFonts w:ascii="Cambria Math" w:hAnsi="Cambria Math"/>
                <w:lang w:val="en-US" w:eastAsia="de-DE"/>
              </w:rPr>
              <m:t>ε</m:t>
            </m:r>
          </m:e>
          <m:sub>
            <m:r>
              <w:rPr>
                <w:rFonts w:ascii="Cambria Math" w:hAnsi="Cambria Math"/>
                <w:lang w:val="en-US" w:eastAsia="de-DE"/>
              </w:rPr>
              <m:t>i</m:t>
            </m:r>
          </m:sub>
        </m:sSub>
      </m:oMath>
      <w:r w:rsidR="00013870">
        <w:rPr>
          <w:lang w:val="en-US" w:eastAsia="de-DE"/>
        </w:rPr>
        <w:t xml:space="preserve"> is the error term.</w:t>
      </w:r>
      <w:r w:rsidR="00013870">
        <w:rPr>
          <w:rStyle w:val="Znakapoznpodarou"/>
          <w:lang w:val="en-US" w:eastAsia="de-DE"/>
        </w:rPr>
        <w:footnoteReference w:id="13"/>
      </w:r>
      <w:r w:rsidR="00084871" w:rsidRPr="00084871">
        <w:rPr>
          <w:lang w:val="en-US" w:eastAsia="de-DE"/>
        </w:rPr>
        <w:t xml:space="preserve"> It is necessary that the variable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00084871" w:rsidRPr="00084871">
        <w:rPr>
          <w:lang w:val="en-US" w:eastAsia="de-DE"/>
        </w:rPr>
        <w:t xml:space="preserve"> is strictly exogenous to obtain an unbiased estimate of the causal parameter α. However, as the </w:t>
      </w:r>
      <w:proofErr w:type="spellStart"/>
      <w:r w:rsidR="00084871" w:rsidRPr="00084871">
        <w:rPr>
          <w:lang w:val="en-US" w:eastAsia="de-DE"/>
        </w:rPr>
        <w:t>descriptives</w:t>
      </w:r>
      <w:proofErr w:type="spellEnd"/>
      <w:r w:rsidR="00084871" w:rsidRPr="00084871">
        <w:rPr>
          <w:lang w:val="en-US" w:eastAsia="de-DE"/>
        </w:rPr>
        <w:t xml:space="preserve"> have shown, it is most likely that the adoption of the contactless feature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00084871" w:rsidRPr="00084871">
        <w:rPr>
          <w:lang w:val="en-US" w:eastAsia="de-DE"/>
        </w:rPr>
        <w:t>) is non-randomly assigned and thus the estimate may be biased and inconsistent (selection bias). There is great concern that some unobserved variables cause individuals to select into treatment and simultaneously to make more card payments. For instance, individuals could deliberately adopt contactless payment because they pay generally more by payment cards resulting in higher preferences towards the contactless technology. The utility of contactless payment might be much greater for these individuals than for others.</w:t>
      </w:r>
    </w:p>
    <w:p w:rsidR="00084871" w:rsidRPr="00084871" w:rsidRDefault="00084871" w:rsidP="00223B6D">
      <w:pPr>
        <w:spacing w:line="276" w:lineRule="auto"/>
        <w:rPr>
          <w:lang w:val="en-US" w:eastAsia="de-DE"/>
        </w:rPr>
      </w:pPr>
    </w:p>
    <w:p w:rsidR="00084871" w:rsidRPr="00084871" w:rsidRDefault="00084871" w:rsidP="00223B6D">
      <w:pPr>
        <w:spacing w:line="276" w:lineRule="auto"/>
        <w:rPr>
          <w:lang w:val="en-US" w:eastAsia="de-DE"/>
        </w:rPr>
      </w:pPr>
      <w:r w:rsidRPr="00084871">
        <w:rPr>
          <w:lang w:val="en-US" w:eastAsia="de-DE"/>
        </w:rPr>
        <w:t xml:space="preserve">Moreover, it might be the case that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is correlated with some other variables that</w:t>
      </w:r>
      <w:r w:rsidR="009E6426">
        <w:rPr>
          <w:lang w:val="en-US" w:eastAsia="de-DE"/>
        </w:rPr>
        <w:t xml:space="preserve"> could</w:t>
      </w:r>
      <w:r w:rsidRPr="00084871">
        <w:rPr>
          <w:lang w:val="en-US" w:eastAsia="de-DE"/>
        </w:rPr>
        <w:t xml:space="preserve"> also have an impact on the number of payments and cannot be measured directly (omitted variable bias). For instance, individuals that frequent</w:t>
      </w:r>
      <w:r w:rsidR="00237475">
        <w:rPr>
          <w:lang w:val="en-US" w:eastAsia="de-DE"/>
        </w:rPr>
        <w:t>ly use payment cards are specifi</w:t>
      </w:r>
      <w:r w:rsidRPr="00084871">
        <w:rPr>
          <w:lang w:val="en-US" w:eastAsia="de-DE"/>
        </w:rPr>
        <w:t>cally addressed by card issuers promoting the use of the contactless feature. Another important unobserved factor that might determine the adoption and usage of contactless payment could be an indivi</w:t>
      </w:r>
      <w:r w:rsidR="00237475">
        <w:rPr>
          <w:lang w:val="en-US" w:eastAsia="de-DE"/>
        </w:rPr>
        <w:t>dual's affi</w:t>
      </w:r>
      <w:r w:rsidRPr="00084871">
        <w:rPr>
          <w:lang w:val="en-US" w:eastAsia="de-DE"/>
        </w:rPr>
        <w:t>nity for new technologies, labeled p</w:t>
      </w:r>
      <w:r w:rsidR="009E3E31">
        <w:rPr>
          <w:lang w:val="en-US" w:eastAsia="de-DE"/>
        </w:rPr>
        <w:t>ersonal innovativeness</w:t>
      </w:r>
      <w:r w:rsidR="00237475">
        <w:rPr>
          <w:lang w:val="en-US" w:eastAsia="de-DE"/>
        </w:rPr>
        <w:t xml:space="preserve"> that infl</w:t>
      </w:r>
      <w:r w:rsidRPr="00084871">
        <w:rPr>
          <w:lang w:val="en-US" w:eastAsia="de-DE"/>
        </w:rPr>
        <w:t xml:space="preserve">uences preferences for electronic payments and the likelihood of </w:t>
      </w:r>
      <w:r w:rsidR="00013870">
        <w:rPr>
          <w:lang w:val="en-US" w:eastAsia="de-DE"/>
        </w:rPr>
        <w:t>adopting payment innovations.</w:t>
      </w:r>
      <w:r w:rsidR="00013870">
        <w:rPr>
          <w:rStyle w:val="Znakapoznpodarou"/>
          <w:lang w:val="en-US" w:eastAsia="de-DE"/>
        </w:rPr>
        <w:footnoteReference w:id="14"/>
      </w:r>
    </w:p>
    <w:p w:rsidR="00084871" w:rsidRPr="00084871" w:rsidRDefault="00084871" w:rsidP="00223B6D">
      <w:pPr>
        <w:spacing w:line="276" w:lineRule="auto"/>
        <w:rPr>
          <w:lang w:val="en-US" w:eastAsia="de-DE"/>
        </w:rPr>
      </w:pPr>
    </w:p>
    <w:p w:rsidR="00084871" w:rsidRPr="00084871" w:rsidRDefault="00084871" w:rsidP="00223B6D">
      <w:pPr>
        <w:spacing w:line="276" w:lineRule="auto"/>
        <w:rPr>
          <w:lang w:val="en-US" w:eastAsia="de-DE"/>
        </w:rPr>
      </w:pPr>
      <w:r w:rsidRPr="00084871">
        <w:rPr>
          <w:lang w:val="en-US" w:eastAsia="de-DE"/>
        </w:rPr>
        <w:t>Further, it is most likely that cont</w:t>
      </w:r>
      <w:r w:rsidR="00237475">
        <w:rPr>
          <w:lang w:val="en-US" w:eastAsia="de-DE"/>
        </w:rPr>
        <w:t>actless payment and spending suff</w:t>
      </w:r>
      <w:r w:rsidRPr="00084871">
        <w:rPr>
          <w:lang w:val="en-US" w:eastAsia="de-DE"/>
        </w:rPr>
        <w:t>er from reverse causality since contactless payment may induce individuals to make more transactions or individuals could adopt contactless payment to meet their personal preferences for frequent usage of payment cards. It is thus not evident if innovation drives spending or vice-versa.</w:t>
      </w:r>
    </w:p>
    <w:p w:rsidR="00084871" w:rsidRPr="00084871" w:rsidRDefault="00084871" w:rsidP="00223B6D">
      <w:pPr>
        <w:spacing w:line="276" w:lineRule="auto"/>
        <w:rPr>
          <w:lang w:val="en-US" w:eastAsia="de-DE"/>
        </w:rPr>
      </w:pPr>
    </w:p>
    <w:p w:rsidR="00084871" w:rsidRPr="00084871" w:rsidRDefault="00084871" w:rsidP="00223B6D">
      <w:pPr>
        <w:spacing w:line="276" w:lineRule="auto"/>
        <w:rPr>
          <w:lang w:val="en-US" w:eastAsia="de-DE"/>
        </w:rPr>
      </w:pPr>
      <w:r w:rsidRPr="00084871">
        <w:rPr>
          <w:lang w:val="en-US" w:eastAsia="de-DE"/>
        </w:rPr>
        <w:lastRenderedPageBreak/>
        <w:t xml:space="preserve">These biases all stem from </w:t>
      </w:r>
      <w:proofErr w:type="spellStart"/>
      <w:r w:rsidRPr="00084871">
        <w:rPr>
          <w:lang w:val="en-US" w:eastAsia="de-DE"/>
        </w:rPr>
        <w:t>endogeneity</w:t>
      </w:r>
      <w:proofErr w:type="spellEnd"/>
      <w:r w:rsidRPr="00084871">
        <w:rPr>
          <w:lang w:val="en-US" w:eastAsia="de-DE"/>
        </w:rPr>
        <w:t xml:space="preserve">, i.e. the </w:t>
      </w:r>
      <w:proofErr w:type="spellStart"/>
      <w:r w:rsidRPr="00084871">
        <w:rPr>
          <w:lang w:val="en-US" w:eastAsia="de-DE"/>
        </w:rPr>
        <w:t>regressor</w:t>
      </w:r>
      <w:proofErr w:type="spellEnd"/>
      <w:r w:rsidRPr="00084871">
        <w:rPr>
          <w:lang w:val="en-US" w:eastAsia="de-DE"/>
        </w:rPr>
        <w:t xml:space="preserv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is correlated with the error </w:t>
      </w:r>
      <w:proofErr w:type="gramStart"/>
      <w:r w:rsidRPr="00084871">
        <w:rPr>
          <w:lang w:val="en-US" w:eastAsia="de-DE"/>
        </w:rPr>
        <w:t xml:space="preserve">term </w:t>
      </w:r>
      <m:oMath>
        <w:proofErr w:type="gramEnd"/>
        <m:sSub>
          <m:sSubPr>
            <m:ctrlPr>
              <w:rPr>
                <w:rFonts w:ascii="Cambria Math" w:hAnsi="Cambria Math"/>
                <w:i/>
                <w:lang w:val="en-US" w:eastAsia="de-DE"/>
              </w:rPr>
            </m:ctrlPr>
          </m:sSubPr>
          <m:e>
            <m:r>
              <w:rPr>
                <w:rFonts w:ascii="Cambria Math" w:hAnsi="Cambria Math"/>
                <w:lang w:val="en-US" w:eastAsia="de-DE"/>
              </w:rPr>
              <m:t>ε</m:t>
            </m:r>
          </m:e>
          <m:sub>
            <m:r>
              <w:rPr>
                <w:rFonts w:ascii="Cambria Math" w:hAnsi="Cambria Math"/>
                <w:lang w:val="en-US" w:eastAsia="de-DE"/>
              </w:rPr>
              <m:t>i</m:t>
            </m:r>
          </m:sub>
        </m:sSub>
      </m:oMath>
      <w:r w:rsidRPr="00084871">
        <w:rPr>
          <w:lang w:val="en-US" w:eastAsia="de-DE"/>
        </w:rPr>
        <w:t>. In these circumstances, OLS provides biased estimates of th</w:t>
      </w:r>
      <w:r w:rsidR="00237475">
        <w:rPr>
          <w:lang w:val="en-US" w:eastAsia="de-DE"/>
        </w:rPr>
        <w:t>e eff</w:t>
      </w:r>
      <w:r w:rsidR="00D72ECB">
        <w:rPr>
          <w:lang w:val="en-US" w:eastAsia="de-DE"/>
        </w:rPr>
        <w:t xml:space="preserve">ect of the </w:t>
      </w:r>
      <w:proofErr w:type="gramStart"/>
      <w:r w:rsidR="00D72ECB">
        <w:rPr>
          <w:lang w:val="en-US" w:eastAsia="de-DE"/>
        </w:rPr>
        <w:t xml:space="preserve">treatment </w:t>
      </w:r>
      <m:oMath>
        <w:proofErr w:type="gramEnd"/>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00D72ECB">
        <w:rPr>
          <w:lang w:val="en-US" w:eastAsia="de-DE"/>
        </w:rPr>
        <w:t>.</w:t>
      </w:r>
      <w:r w:rsidR="00D72ECB">
        <w:rPr>
          <w:rStyle w:val="Znakapoznpodarou"/>
          <w:lang w:val="en-US" w:eastAsia="de-DE"/>
        </w:rPr>
        <w:footnoteReference w:id="15"/>
      </w:r>
      <w:r>
        <w:rPr>
          <w:lang w:val="en-US" w:eastAsia="de-DE"/>
        </w:rPr>
        <w:t xml:space="preserve"> </w:t>
      </w:r>
      <w:r w:rsidRPr="00084871">
        <w:rPr>
          <w:lang w:val="en-US" w:eastAsia="de-DE"/>
        </w:rPr>
        <w:t>A common and reliable methodology to contro</w:t>
      </w:r>
      <w:r w:rsidR="00237475">
        <w:rPr>
          <w:lang w:val="en-US" w:eastAsia="de-DE"/>
        </w:rPr>
        <w:t xml:space="preserve">l for </w:t>
      </w:r>
      <w:proofErr w:type="spellStart"/>
      <w:r w:rsidR="00237475">
        <w:rPr>
          <w:lang w:val="en-US" w:eastAsia="de-DE"/>
        </w:rPr>
        <w:t>endogeneity</w:t>
      </w:r>
      <w:proofErr w:type="spellEnd"/>
      <w:r w:rsidR="00237475">
        <w:rPr>
          <w:lang w:val="en-US" w:eastAsia="de-DE"/>
        </w:rPr>
        <w:t xml:space="preserve"> is the instru</w:t>
      </w:r>
      <w:r w:rsidRPr="00084871">
        <w:rPr>
          <w:lang w:val="en-US" w:eastAsia="de-DE"/>
        </w:rPr>
        <w:t>mental variable (IV) research design providing high order of internal validity. In this sense, the IV (or alternatively the excluded</w:t>
      </w:r>
      <w:r w:rsidR="00237475">
        <w:rPr>
          <w:lang w:val="en-US" w:eastAsia="de-DE"/>
        </w:rPr>
        <w:t xml:space="preserve"> instrument) must be highly cor</w:t>
      </w:r>
      <w:r w:rsidRPr="00084871">
        <w:rPr>
          <w:lang w:val="en-US" w:eastAsia="de-DE"/>
        </w:rPr>
        <w:t xml:space="preserve">related with the endogenous explanatory variable </w:t>
      </w:r>
      <w:r w:rsidR="006C0DB0">
        <w:rPr>
          <w:lang w:val="en-US" w:eastAsia="de-DE"/>
        </w:rPr>
        <w:t xml:space="preserve">- </w:t>
      </w:r>
      <w:r w:rsidRPr="00084871">
        <w:rPr>
          <w:lang w:val="en-US" w:eastAsia="de-DE"/>
        </w:rPr>
        <w:t xml:space="preserve">the treatment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w:t>
      </w:r>
      <w:r w:rsidR="006C0DB0">
        <w:rPr>
          <w:lang w:val="en-US" w:eastAsia="de-DE"/>
        </w:rPr>
        <w:t>- a</w:t>
      </w:r>
      <w:r w:rsidRPr="00084871">
        <w:rPr>
          <w:lang w:val="en-US" w:eastAsia="de-DE"/>
        </w:rPr>
        <w:t xml:space="preserve">nd must not be correlated with the error </w:t>
      </w:r>
      <w:proofErr w:type="gramStart"/>
      <w:r w:rsidRPr="00084871">
        <w:rPr>
          <w:lang w:val="en-US" w:eastAsia="de-DE"/>
        </w:rPr>
        <w:t xml:space="preserve">term </w:t>
      </w:r>
      <m:oMath>
        <w:proofErr w:type="gramEnd"/>
        <m:sSub>
          <m:sSubPr>
            <m:ctrlPr>
              <w:rPr>
                <w:rFonts w:ascii="Cambria Math" w:hAnsi="Cambria Math"/>
                <w:i/>
                <w:lang w:val="en-US" w:eastAsia="de-DE"/>
              </w:rPr>
            </m:ctrlPr>
          </m:sSubPr>
          <m:e>
            <m:r>
              <w:rPr>
                <w:rFonts w:ascii="Cambria Math" w:hAnsi="Cambria Math"/>
                <w:lang w:val="en-US" w:eastAsia="de-DE"/>
              </w:rPr>
              <m:t>ε</m:t>
            </m:r>
          </m:e>
          <m:sub>
            <m:r>
              <w:rPr>
                <w:rFonts w:ascii="Cambria Math" w:hAnsi="Cambria Math"/>
                <w:lang w:val="en-US" w:eastAsia="de-DE"/>
              </w:rPr>
              <m:t>i</m:t>
            </m:r>
          </m:sub>
        </m:sSub>
      </m:oMath>
      <w:r w:rsidRPr="00084871">
        <w:rPr>
          <w:lang w:val="en-US" w:eastAsia="de-DE"/>
        </w:rPr>
        <w:t xml:space="preserve">. However, the IV estimates are only as good as the excluded instruments used. It has been cumbersome to </w:t>
      </w:r>
      <w:r w:rsidR="00237475">
        <w:rPr>
          <w:lang w:val="en-US" w:eastAsia="de-DE"/>
        </w:rPr>
        <w:t>fi</w:t>
      </w:r>
      <w:r w:rsidRPr="00084871">
        <w:rPr>
          <w:lang w:val="en-US" w:eastAsia="de-DE"/>
        </w:rPr>
        <w:t>nd plausible instruments in this context.</w:t>
      </w:r>
    </w:p>
    <w:p w:rsidR="00084871" w:rsidRPr="00084871" w:rsidRDefault="00084871" w:rsidP="00223B6D">
      <w:pPr>
        <w:spacing w:line="276" w:lineRule="auto"/>
        <w:rPr>
          <w:lang w:val="en-US" w:eastAsia="de-DE"/>
        </w:rPr>
      </w:pPr>
    </w:p>
    <w:p w:rsidR="00084871" w:rsidRDefault="008853B1" w:rsidP="00223B6D">
      <w:pPr>
        <w:spacing w:line="276" w:lineRule="auto"/>
        <w:rPr>
          <w:lang w:val="en-US" w:eastAsia="de-DE"/>
        </w:rPr>
      </w:pPr>
      <w:r>
        <w:rPr>
          <w:lang w:val="en-US" w:eastAsia="de-DE"/>
        </w:rPr>
        <w:t>A signifi</w:t>
      </w:r>
      <w:r w:rsidR="00084871" w:rsidRPr="00084871">
        <w:rPr>
          <w:lang w:val="en-US" w:eastAsia="de-DE"/>
        </w:rPr>
        <w:t>cant amount of unobserved heteroge</w:t>
      </w:r>
      <w:r>
        <w:rPr>
          <w:lang w:val="en-US" w:eastAsia="de-DE"/>
        </w:rPr>
        <w:t>neity can be captured by the in</w:t>
      </w:r>
      <w:r w:rsidR="00084871" w:rsidRPr="00084871">
        <w:rPr>
          <w:lang w:val="en-US" w:eastAsia="de-DE"/>
        </w:rPr>
        <w:t xml:space="preserve">clusion of individuals' perceptions on </w:t>
      </w:r>
      <w:r>
        <w:rPr>
          <w:lang w:val="en-US" w:eastAsia="de-DE"/>
        </w:rPr>
        <w:t>payment cards characteristics (</w:t>
      </w:r>
      <w:proofErr w:type="spellStart"/>
      <w:r w:rsidR="00084871" w:rsidRPr="00084871">
        <w:rPr>
          <w:lang w:val="en-US" w:eastAsia="de-DE"/>
        </w:rPr>
        <w:t>Jonker</w:t>
      </w:r>
      <w:proofErr w:type="spellEnd"/>
      <w:r w:rsidR="00084871" w:rsidRPr="00084871">
        <w:rPr>
          <w:lang w:val="en-US" w:eastAsia="de-DE"/>
        </w:rPr>
        <w:t xml:space="preserve">, 2007; Kim et al., </w:t>
      </w:r>
      <w:r w:rsidR="00D72ECB">
        <w:rPr>
          <w:lang w:val="en-US" w:eastAsia="de-DE"/>
        </w:rPr>
        <w:t xml:space="preserve">2006; </w:t>
      </w:r>
      <w:proofErr w:type="spellStart"/>
      <w:r w:rsidR="00D72ECB">
        <w:rPr>
          <w:lang w:val="en-US" w:eastAsia="de-DE"/>
        </w:rPr>
        <w:t>Ching</w:t>
      </w:r>
      <w:proofErr w:type="spellEnd"/>
      <w:r w:rsidR="00D72ECB">
        <w:rPr>
          <w:lang w:val="en-US" w:eastAsia="de-DE"/>
        </w:rPr>
        <w:t xml:space="preserve"> and Hayashi, 2010).</w:t>
      </w:r>
      <w:r w:rsidR="00D72ECB">
        <w:rPr>
          <w:rStyle w:val="Znakapoznpodarou"/>
          <w:lang w:val="en-US" w:eastAsia="de-DE"/>
        </w:rPr>
        <w:footnoteReference w:id="16"/>
      </w:r>
      <w:r w:rsidR="00084871" w:rsidRPr="00084871">
        <w:rPr>
          <w:lang w:val="en-US" w:eastAsia="de-DE"/>
        </w:rPr>
        <w:t xml:space="preserve"> Also, some proxy variables that account for personal innovativeness help to control for </w:t>
      </w:r>
      <w:proofErr w:type="spellStart"/>
      <w:r w:rsidR="00084871" w:rsidRPr="00084871">
        <w:rPr>
          <w:lang w:val="en-US" w:eastAsia="de-DE"/>
        </w:rPr>
        <w:t>unobservables</w:t>
      </w:r>
      <w:proofErr w:type="spellEnd"/>
      <w:r w:rsidR="00084871" w:rsidRPr="00084871">
        <w:rPr>
          <w:lang w:val="en-US" w:eastAsia="de-DE"/>
        </w:rPr>
        <w:t xml:space="preserve">. Therefore, the issue of </w:t>
      </w:r>
      <w:proofErr w:type="spellStart"/>
      <w:r w:rsidR="00084871" w:rsidRPr="00084871">
        <w:rPr>
          <w:lang w:val="en-US" w:eastAsia="de-DE"/>
        </w:rPr>
        <w:t>endogeneous</w:t>
      </w:r>
      <w:proofErr w:type="spellEnd"/>
      <w:r w:rsidR="00084871" w:rsidRPr="00084871">
        <w:rPr>
          <w:lang w:val="en-US" w:eastAsia="de-DE"/>
        </w:rPr>
        <w:t xml:space="preserve"> treatment is largely mitigated. However, the problem of non-random assignment into treatment has to be eliminated.</w:t>
      </w:r>
    </w:p>
    <w:p w:rsidR="007D72F8" w:rsidRDefault="007D72F8" w:rsidP="00223B6D">
      <w:pPr>
        <w:spacing w:line="276" w:lineRule="auto"/>
        <w:rPr>
          <w:lang w:val="en-US" w:eastAsia="de-DE"/>
        </w:rPr>
      </w:pPr>
    </w:p>
    <w:p w:rsidR="00084871" w:rsidRDefault="00084871" w:rsidP="00223B6D">
      <w:pPr>
        <w:pStyle w:val="Nadpis2"/>
        <w:spacing w:line="276" w:lineRule="auto"/>
        <w:rPr>
          <w:lang w:val="en-US" w:eastAsia="de-DE"/>
        </w:rPr>
      </w:pPr>
      <w:r>
        <w:rPr>
          <w:lang w:val="en-US" w:eastAsia="de-DE"/>
        </w:rPr>
        <w:t>Estimation Strategy</w:t>
      </w:r>
    </w:p>
    <w:p w:rsidR="00A244C0" w:rsidRDefault="00084871" w:rsidP="00223B6D">
      <w:pPr>
        <w:spacing w:line="276" w:lineRule="auto"/>
        <w:rPr>
          <w:lang w:val="en-US" w:eastAsia="de-DE"/>
        </w:rPr>
      </w:pPr>
      <w:r w:rsidRPr="00084871">
        <w:rPr>
          <w:lang w:val="en-US" w:eastAsia="de-DE"/>
        </w:rPr>
        <w:t>To cope with the problem of selection into treatment, I apply propensity score matching (PSM) that generally provides</w:t>
      </w:r>
      <w:r w:rsidR="00955CC2">
        <w:rPr>
          <w:lang w:val="en-US" w:eastAsia="de-DE"/>
        </w:rPr>
        <w:t xml:space="preserve"> a</w:t>
      </w:r>
      <w:r w:rsidRPr="00084871">
        <w:rPr>
          <w:lang w:val="en-US" w:eastAsia="de-DE"/>
        </w:rPr>
        <w:t xml:space="preserve"> high order of i</w:t>
      </w:r>
      <w:r w:rsidR="008853B1">
        <w:rPr>
          <w:lang w:val="en-US" w:eastAsia="de-DE"/>
        </w:rPr>
        <w:t>nternal validity (</w:t>
      </w:r>
      <w:r w:rsidRPr="00084871">
        <w:rPr>
          <w:lang w:val="en-US" w:eastAsia="de-DE"/>
        </w:rPr>
        <w:t>Nichols, 2007). Rega</w:t>
      </w:r>
      <w:r w:rsidR="008853B1">
        <w:rPr>
          <w:lang w:val="en-US" w:eastAsia="de-DE"/>
        </w:rPr>
        <w:t>rding the measurement of the diff</w:t>
      </w:r>
      <w:r w:rsidRPr="00084871">
        <w:rPr>
          <w:lang w:val="en-US" w:eastAsia="de-DE"/>
        </w:rPr>
        <w:t>er</w:t>
      </w:r>
      <w:r w:rsidR="008853B1">
        <w:rPr>
          <w:lang w:val="en-US" w:eastAsia="de-DE"/>
        </w:rPr>
        <w:t>ence in spending between innova</w:t>
      </w:r>
      <w:r w:rsidRPr="00084871">
        <w:rPr>
          <w:lang w:val="en-US" w:eastAsia="de-DE"/>
        </w:rPr>
        <w:t xml:space="preserve">tors and </w:t>
      </w:r>
      <w:r w:rsidR="008853B1">
        <w:rPr>
          <w:lang w:val="en-US" w:eastAsia="de-DE"/>
        </w:rPr>
        <w:t>non-innovators at the POS, I defi</w:t>
      </w:r>
      <w:r w:rsidRPr="00084871">
        <w:rPr>
          <w:lang w:val="en-US" w:eastAsia="de-DE"/>
        </w:rPr>
        <w:t xml:space="preserve">ne the potential outcome </w:t>
      </w:r>
      <m:oMath>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oMath>
      <w:r w:rsidRPr="00084871">
        <w:rPr>
          <w:lang w:val="en-US" w:eastAsia="de-DE"/>
        </w:rPr>
        <w:t>(</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as the ratio of transactions for individual i and payment method j, w</w:t>
      </w:r>
      <w:r w:rsidR="008853B1">
        <w:rPr>
          <w:lang w:val="en-US" w:eastAsia="de-DE"/>
        </w:rPr>
        <w:t>here j re</w:t>
      </w:r>
      <w:r w:rsidRPr="00084871">
        <w:rPr>
          <w:lang w:val="en-US" w:eastAsia="de-DE"/>
        </w:rPr>
        <w:t>lates to debit or credit cards, relativ</w:t>
      </w:r>
      <w:r w:rsidR="008853B1">
        <w:rPr>
          <w:lang w:val="en-US" w:eastAsia="de-DE"/>
        </w:rPr>
        <w:t>e</w:t>
      </w:r>
      <w:r w:rsidRPr="00084871">
        <w:rPr>
          <w:lang w:val="en-US" w:eastAsia="de-DE"/>
        </w:rPr>
        <w:t xml:space="preserve"> to every other payment instrument j′ besides j that is commonly used at the POS, and where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equals one if individual i receives treatment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 1) of payment method j</w:t>
      </w:r>
      <w:r w:rsidR="00D72ECB">
        <w:rPr>
          <w:lang w:val="en-US" w:eastAsia="de-DE"/>
        </w:rPr>
        <w:t xml:space="preserve"> and zero otherwise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00D72ECB">
        <w:rPr>
          <w:lang w:val="en-US" w:eastAsia="de-DE"/>
        </w:rPr>
        <w:t xml:space="preserve"> = 0).</w:t>
      </w:r>
      <w:r w:rsidR="00D72ECB">
        <w:rPr>
          <w:rStyle w:val="Znakapoznpodarou"/>
          <w:lang w:val="en-US" w:eastAsia="de-DE"/>
        </w:rPr>
        <w:footnoteReference w:id="17"/>
      </w:r>
      <w:r w:rsidR="00A244C0">
        <w:rPr>
          <w:lang w:val="en-US" w:eastAsia="de-DE"/>
        </w:rPr>
        <w:t xml:space="preserve"> </w:t>
      </w:r>
    </w:p>
    <w:p w:rsidR="00A244C0" w:rsidRDefault="00A244C0" w:rsidP="00223B6D">
      <w:pPr>
        <w:spacing w:line="276" w:lineRule="auto"/>
        <w:rPr>
          <w:lang w:val="en-US" w:eastAsia="de-DE"/>
        </w:rPr>
      </w:pPr>
    </w:p>
    <w:p w:rsidR="00084871" w:rsidRDefault="00084871" w:rsidP="00223B6D">
      <w:pPr>
        <w:spacing w:line="276" w:lineRule="auto"/>
        <w:rPr>
          <w:lang w:val="en-US" w:eastAsia="de-DE"/>
        </w:rPr>
      </w:pPr>
      <w:r w:rsidRPr="00084871">
        <w:rPr>
          <w:lang w:val="en-US" w:eastAsia="de-DE"/>
        </w:rPr>
        <w:t xml:space="preserve">According to </w:t>
      </w:r>
      <w:proofErr w:type="spellStart"/>
      <w:r w:rsidRPr="00084871">
        <w:rPr>
          <w:lang w:val="en-US" w:eastAsia="de-DE"/>
        </w:rPr>
        <w:t>Caliendo</w:t>
      </w:r>
      <w:proofErr w:type="spellEnd"/>
      <w:r w:rsidRPr="00084871">
        <w:rPr>
          <w:lang w:val="en-US" w:eastAsia="de-DE"/>
        </w:rPr>
        <w:t xml:space="preserve"> and </w:t>
      </w:r>
      <w:proofErr w:type="spellStart"/>
      <w:r w:rsidRPr="00084871">
        <w:rPr>
          <w:lang w:val="en-US" w:eastAsia="de-DE"/>
        </w:rPr>
        <w:t>K</w:t>
      </w:r>
      <w:r w:rsidR="008461ED">
        <w:rPr>
          <w:lang w:val="en-US" w:eastAsia="de-DE"/>
        </w:rPr>
        <w:t>opeinig</w:t>
      </w:r>
      <w:proofErr w:type="spellEnd"/>
      <w:r w:rsidR="008461ED">
        <w:rPr>
          <w:lang w:val="en-US" w:eastAsia="de-DE"/>
        </w:rPr>
        <w:t xml:space="preserve"> (2005), the treatment effect for an individ</w:t>
      </w:r>
      <w:r w:rsidRPr="00084871">
        <w:rPr>
          <w:lang w:val="en-US" w:eastAsia="de-DE"/>
        </w:rPr>
        <w:t xml:space="preserve">ual </w:t>
      </w:r>
      <w:proofErr w:type="spellStart"/>
      <w:r w:rsidRPr="00084871">
        <w:rPr>
          <w:lang w:val="en-US" w:eastAsia="de-DE"/>
        </w:rPr>
        <w:t>i</w:t>
      </w:r>
      <w:proofErr w:type="spellEnd"/>
      <w:r w:rsidRPr="00084871">
        <w:rPr>
          <w:lang w:val="en-US" w:eastAsia="de-DE"/>
        </w:rPr>
        <w:t xml:space="preserve"> and payment method j can be written as</w:t>
      </w:r>
    </w:p>
    <w:p w:rsidR="00A244C0" w:rsidRDefault="00A244C0" w:rsidP="00223B6D">
      <w:pPr>
        <w:spacing w:line="276" w:lineRule="auto"/>
        <w:rPr>
          <w:lang w:val="en-US" w:eastAsia="de-DE"/>
        </w:rPr>
      </w:pPr>
    </w:p>
    <w:p w:rsidR="00A244C0" w:rsidRDefault="006A23B6" w:rsidP="00223B6D">
      <w:pPr>
        <w:spacing w:line="276" w:lineRule="auto"/>
        <w:rPr>
          <w:lang w:val="en-US" w:eastAsia="de-DE"/>
        </w:rPr>
      </w:pPr>
      <m:oMathPara>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ij</m:t>
              </m:r>
            </m:sub>
          </m:sSub>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1</m:t>
              </m:r>
            </m:e>
          </m:d>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0</m:t>
              </m:r>
            </m:e>
          </m:d>
          <m:r>
            <w:rPr>
              <w:rFonts w:ascii="Cambria Math" w:eastAsiaTheme="minorEastAsia" w:hAnsi="Cambria Math"/>
              <w:lang w:val="en-US" w:eastAsia="de-DE"/>
            </w:rPr>
            <m:t>.</m:t>
          </m:r>
        </m:oMath>
      </m:oMathPara>
    </w:p>
    <w:p w:rsidR="00084871" w:rsidRDefault="00084871" w:rsidP="00223B6D">
      <w:pPr>
        <w:spacing w:line="276" w:lineRule="auto"/>
        <w:rPr>
          <w:lang w:val="en-US" w:eastAsia="de-DE"/>
        </w:rPr>
      </w:pPr>
    </w:p>
    <w:p w:rsidR="00084871" w:rsidRDefault="00084871" w:rsidP="00223B6D">
      <w:pPr>
        <w:spacing w:line="276" w:lineRule="auto"/>
        <w:rPr>
          <w:lang w:val="en-US" w:eastAsia="de-DE"/>
        </w:rPr>
      </w:pPr>
      <w:r w:rsidRPr="00084871">
        <w:rPr>
          <w:lang w:val="en-US" w:eastAsia="de-DE"/>
        </w:rPr>
        <w:t xml:space="preserve">However, the problem arises that only one of the potential outcomes is observed for each individual </w:t>
      </w:r>
      <w:proofErr w:type="spellStart"/>
      <w:r w:rsidRPr="00084871">
        <w:rPr>
          <w:lang w:val="en-US" w:eastAsia="de-DE"/>
        </w:rPr>
        <w:t>i</w:t>
      </w:r>
      <w:proofErr w:type="spellEnd"/>
      <w:r w:rsidRPr="00084871">
        <w:rPr>
          <w:lang w:val="en-US" w:eastAsia="de-DE"/>
        </w:rPr>
        <w:t xml:space="preserve">, where </w:t>
      </w:r>
      <w:proofErr w:type="spellStart"/>
      <w:r w:rsidRPr="00084871">
        <w:rPr>
          <w:lang w:val="en-US" w:eastAsia="de-DE"/>
        </w:rPr>
        <w:t>i</w:t>
      </w:r>
      <w:proofErr w:type="spellEnd"/>
      <w:r w:rsidRPr="00084871">
        <w:rPr>
          <w:lang w:val="en-US" w:eastAsia="de-DE"/>
        </w:rPr>
        <w:t xml:space="preserve"> = 1</w:t>
      </w:r>
      <w:proofErr w:type="gramStart"/>
      <w:r w:rsidRPr="00084871">
        <w:rPr>
          <w:lang w:val="en-US" w:eastAsia="de-DE"/>
        </w:rPr>
        <w:t>, ...,</w:t>
      </w:r>
      <w:proofErr w:type="gramEnd"/>
      <w:r w:rsidRPr="00084871">
        <w:rPr>
          <w:lang w:val="en-US" w:eastAsia="de-DE"/>
        </w:rPr>
        <w:t xml:space="preserve"> N and N denotes the total population. Theref</w:t>
      </w:r>
      <w:r w:rsidR="008461ED">
        <w:rPr>
          <w:lang w:val="en-US" w:eastAsia="de-DE"/>
        </w:rPr>
        <w:t>ore, the individual treatment eff</w:t>
      </w:r>
      <w:r w:rsidRPr="00084871">
        <w:rPr>
          <w:lang w:val="en-US" w:eastAsia="de-DE"/>
        </w:rPr>
        <w:t xml:space="preserve">ect </w:t>
      </w:r>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ij</m:t>
            </m:r>
          </m:sub>
        </m:sSub>
      </m:oMath>
      <w:r w:rsidRPr="00084871">
        <w:rPr>
          <w:lang w:val="en-US" w:eastAsia="de-DE"/>
        </w:rPr>
        <w:t xml:space="preserve"> cannot be estimated and one has to focus on (popula</w:t>
      </w:r>
      <w:r w:rsidR="008461ED">
        <w:rPr>
          <w:lang w:val="en-US" w:eastAsia="de-DE"/>
        </w:rPr>
        <w:t>tion) average treatment eff</w:t>
      </w:r>
      <w:r w:rsidRPr="00084871">
        <w:rPr>
          <w:lang w:val="en-US" w:eastAsia="de-DE"/>
        </w:rPr>
        <w:t>ects, which can be measured by invoking some identifying assumptions. Under the assumption that the selection</w:t>
      </w:r>
      <w:r>
        <w:rPr>
          <w:lang w:val="en-US" w:eastAsia="de-DE"/>
        </w:rPr>
        <w:t xml:space="preserve"> </w:t>
      </w:r>
      <w:r w:rsidRPr="00084871">
        <w:rPr>
          <w:lang w:val="en-US" w:eastAsia="de-DE"/>
        </w:rPr>
        <w:t xml:space="preserve">into treatment solely depends on the observables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and the potential outcome is independent on the treatment assignment,</w:t>
      </w:r>
      <w:r w:rsidR="008461ED">
        <w:rPr>
          <w:lang w:val="en-US" w:eastAsia="de-DE"/>
        </w:rPr>
        <w:t xml:space="preserve"> the PSM gives consistent and effi</w:t>
      </w:r>
      <w:r w:rsidRPr="00084871">
        <w:rPr>
          <w:lang w:val="en-US" w:eastAsia="de-DE"/>
        </w:rPr>
        <w:t>cient estim</w:t>
      </w:r>
      <w:r w:rsidR="008461ED">
        <w:rPr>
          <w:lang w:val="en-US" w:eastAsia="de-DE"/>
        </w:rPr>
        <w:t>ates of the average treatment eff</w:t>
      </w:r>
      <w:r w:rsidRPr="00084871">
        <w:rPr>
          <w:lang w:val="en-US" w:eastAsia="de-DE"/>
        </w:rPr>
        <w:t xml:space="preserve">ects. This is a strong assumption known as </w:t>
      </w:r>
      <w:proofErr w:type="spellStart"/>
      <w:r w:rsidRPr="00084871">
        <w:rPr>
          <w:lang w:val="en-US" w:eastAsia="de-DE"/>
        </w:rPr>
        <w:t>unconfoundedness</w:t>
      </w:r>
      <w:proofErr w:type="spellEnd"/>
      <w:r w:rsidRPr="00084871">
        <w:rPr>
          <w:lang w:val="en-US" w:eastAsia="de-DE"/>
        </w:rPr>
        <w:t xml:space="preserve"> or conditional independence assumption. It implies that the decision to adopt contactless payment is random and </w:t>
      </w:r>
      <w:proofErr w:type="spellStart"/>
      <w:r w:rsidRPr="00084871">
        <w:rPr>
          <w:lang w:val="en-US" w:eastAsia="de-DE"/>
        </w:rPr>
        <w:t>exogeneous</w:t>
      </w:r>
      <w:proofErr w:type="spellEnd"/>
      <w:r w:rsidRPr="00084871">
        <w:rPr>
          <w:lang w:val="en-US" w:eastAsia="de-DE"/>
        </w:rPr>
        <w:t xml:space="preserve"> to other variables such as the number of payment card transactions. Given </w:t>
      </w:r>
      <w:r w:rsidR="008461ED">
        <w:rPr>
          <w:lang w:val="en-US" w:eastAsia="de-DE"/>
        </w:rPr>
        <w:t xml:space="preserve">this assumption, the average </w:t>
      </w:r>
      <w:r w:rsidR="008461ED">
        <w:rPr>
          <w:lang w:val="en-US" w:eastAsia="de-DE"/>
        </w:rPr>
        <w:lastRenderedPageBreak/>
        <w:t>diff</w:t>
      </w:r>
      <w:r w:rsidRPr="00084871">
        <w:rPr>
          <w:lang w:val="en-US" w:eastAsia="de-DE"/>
        </w:rPr>
        <w:t>erence i</w:t>
      </w:r>
      <w:r w:rsidR="008461ED">
        <w:rPr>
          <w:lang w:val="en-US" w:eastAsia="de-DE"/>
        </w:rPr>
        <w:t>n the spending ratio is thus defi</w:t>
      </w:r>
      <w:r w:rsidRPr="00084871">
        <w:rPr>
          <w:lang w:val="en-US" w:eastAsia="de-DE"/>
        </w:rPr>
        <w:t>n</w:t>
      </w:r>
      <w:r w:rsidR="008461ED">
        <w:rPr>
          <w:lang w:val="en-US" w:eastAsia="de-DE"/>
        </w:rPr>
        <w:t>ed as the expectation of the diff</w:t>
      </w:r>
      <w:r w:rsidRPr="00084871">
        <w:rPr>
          <w:lang w:val="en-US" w:eastAsia="de-DE"/>
        </w:rPr>
        <w:t>erence in the spending ratio of adopters and non-adopters. The parameters to be estimated are</w:t>
      </w:r>
    </w:p>
    <w:p w:rsidR="00084871" w:rsidRDefault="00084871" w:rsidP="00223B6D">
      <w:pPr>
        <w:spacing w:line="276" w:lineRule="auto"/>
        <w:rPr>
          <w:lang w:val="en-US" w:eastAsia="de-DE"/>
        </w:rPr>
      </w:pPr>
    </w:p>
    <w:p w:rsidR="00084871" w:rsidRPr="008461ED" w:rsidRDefault="006A23B6" w:rsidP="00223B6D">
      <w:pPr>
        <w:spacing w:line="276" w:lineRule="auto"/>
        <w:rPr>
          <w:rFonts w:eastAsiaTheme="minorEastAsia"/>
          <w:lang w:val="en-US" w:eastAsia="de-DE"/>
        </w:rPr>
      </w:pPr>
      <m:oMathPara>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ATE|X</m:t>
              </m:r>
            </m:sub>
          </m:sSub>
          <m:r>
            <w:rPr>
              <w:rFonts w:ascii="Cambria Math" w:hAnsi="Cambria Math"/>
              <w:lang w:val="en-US" w:eastAsia="de-DE"/>
            </w:rPr>
            <m:t>= E</m:t>
          </m:r>
          <m:d>
            <m:dPr>
              <m:begChr m:val="["/>
              <m:end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1</m:t>
                  </m:r>
                </m:e>
              </m:d>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0</m:t>
                  </m:r>
                </m:e>
              </m:d>
            </m:e>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eastAsiaTheme="minorEastAsia" w:hAnsi="Cambria Math"/>
              <w:lang w:val="en-US" w:eastAsia="de-DE"/>
            </w:rPr>
            <m:t>,</m:t>
          </m:r>
        </m:oMath>
      </m:oMathPara>
    </w:p>
    <w:p w:rsidR="008461ED" w:rsidRDefault="006A23B6" w:rsidP="00223B6D">
      <w:pPr>
        <w:spacing w:line="276" w:lineRule="auto"/>
        <w:ind w:left="708" w:firstLine="708"/>
        <w:rPr>
          <w:lang w:val="en-US" w:eastAsia="de-DE"/>
        </w:rPr>
      </w:pPr>
      <m:oMathPara>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ATT|X</m:t>
              </m:r>
            </m:sub>
          </m:sSub>
          <m:r>
            <w:rPr>
              <w:rFonts w:ascii="Cambria Math" w:hAnsi="Cambria Math"/>
              <w:lang w:val="en-US" w:eastAsia="de-DE"/>
            </w:rPr>
            <m:t>= E</m:t>
          </m:r>
          <m:d>
            <m:dPr>
              <m:begChr m:val="["/>
              <m:end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1</m:t>
                  </m:r>
                </m:e>
              </m:d>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d>
                <m:dPr>
                  <m:ctrlPr>
                    <w:rPr>
                      <w:rFonts w:ascii="Cambria Math" w:hAnsi="Cambria Math"/>
                      <w:i/>
                      <w:lang w:val="en-US" w:eastAsia="de-DE"/>
                    </w:rPr>
                  </m:ctrlPr>
                </m:dPr>
                <m:e>
                  <m:r>
                    <w:rPr>
                      <w:rFonts w:ascii="Cambria Math" w:hAnsi="Cambria Math"/>
                      <w:lang w:val="en-US" w:eastAsia="de-DE"/>
                    </w:rPr>
                    <m:t>0</m:t>
                  </m:r>
                </m:e>
              </m:d>
            </m:e>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=1</m:t>
              </m:r>
            </m:e>
          </m:d>
          <m:r>
            <w:rPr>
              <w:rFonts w:ascii="Cambria Math" w:eastAsiaTheme="minorEastAsia" w:hAnsi="Cambria Math"/>
              <w:lang w:val="en-US" w:eastAsia="de-DE"/>
            </w:rPr>
            <m:t>,</m:t>
          </m:r>
        </m:oMath>
      </m:oMathPara>
    </w:p>
    <w:p w:rsidR="008461ED" w:rsidRDefault="008461ED" w:rsidP="00223B6D">
      <w:pPr>
        <w:spacing w:line="276" w:lineRule="auto"/>
        <w:rPr>
          <w:lang w:val="en-US" w:eastAsia="de-DE"/>
        </w:rPr>
      </w:pPr>
    </w:p>
    <w:p w:rsidR="00084871" w:rsidRPr="00084871" w:rsidRDefault="00084871" w:rsidP="00223B6D">
      <w:pPr>
        <w:spacing w:line="276" w:lineRule="auto"/>
        <w:rPr>
          <w:lang w:val="en-US" w:eastAsia="de-DE"/>
        </w:rPr>
      </w:pPr>
      <w:proofErr w:type="gramStart"/>
      <w:r w:rsidRPr="00084871">
        <w:rPr>
          <w:lang w:val="en-US" w:eastAsia="de-DE"/>
        </w:rPr>
        <w:t>where</w:t>
      </w:r>
      <w:proofErr w:type="gramEnd"/>
      <w:r w:rsidRPr="00084871">
        <w:rPr>
          <w:lang w:val="en-US" w:eastAsia="de-DE"/>
        </w:rPr>
        <w:t xml:space="preserve"> the ATE (</w:t>
      </w:r>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ATE|X</m:t>
            </m:r>
          </m:sub>
        </m:sSub>
      </m:oMath>
      <w:r w:rsidRPr="00084871">
        <w:rPr>
          <w:lang w:val="en-US" w:eastAsia="de-DE"/>
        </w:rPr>
        <w:t>) rep</w:t>
      </w:r>
      <w:r w:rsidR="006C0DB0">
        <w:rPr>
          <w:lang w:val="en-US" w:eastAsia="de-DE"/>
        </w:rPr>
        <w:t>resents the average treatment eff</w:t>
      </w:r>
      <w:r w:rsidRPr="00084871">
        <w:rPr>
          <w:lang w:val="en-US" w:eastAsia="de-DE"/>
        </w:rPr>
        <w:t>ect and the ATT (</w:t>
      </w:r>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ATT|X</m:t>
            </m:r>
          </m:sub>
        </m:sSub>
      </m:oMath>
      <w:r w:rsidR="008461ED">
        <w:rPr>
          <w:lang w:val="en-US" w:eastAsia="de-DE"/>
        </w:rPr>
        <w:t>) the average treatment eff</w:t>
      </w:r>
      <w:r w:rsidRPr="00084871">
        <w:rPr>
          <w:lang w:val="en-US" w:eastAsia="de-DE"/>
        </w:rPr>
        <w:t>ect on the treated that measures the mean e</w:t>
      </w:r>
      <w:r w:rsidR="008461ED">
        <w:rPr>
          <w:lang w:val="en-US" w:eastAsia="de-DE"/>
        </w:rPr>
        <w:t>ff</w:t>
      </w:r>
      <w:r w:rsidRPr="00084871">
        <w:rPr>
          <w:lang w:val="en-US" w:eastAsia="de-DE"/>
        </w:rPr>
        <w:t>ect of the treatment for t</w:t>
      </w:r>
      <w:r w:rsidR="008461ED">
        <w:rPr>
          <w:lang w:val="en-US" w:eastAsia="de-DE"/>
        </w:rPr>
        <w:t>he sample of innovators. This eff</w:t>
      </w:r>
      <w:r w:rsidRPr="00084871">
        <w:rPr>
          <w:lang w:val="en-US" w:eastAsia="de-DE"/>
        </w:rPr>
        <w:t>ect is more relevant in this context since individuals tend to become more and more contactless</w:t>
      </w:r>
      <w:r w:rsidR="008461ED">
        <w:rPr>
          <w:lang w:val="en-US" w:eastAsia="de-DE"/>
        </w:rPr>
        <w:t xml:space="preserve"> payment adopters due to the diff</w:t>
      </w:r>
      <w:r w:rsidRPr="00084871">
        <w:rPr>
          <w:lang w:val="en-US" w:eastAsia="de-DE"/>
        </w:rPr>
        <w:t>usion process of the innovation.</w:t>
      </w:r>
    </w:p>
    <w:p w:rsidR="00084871" w:rsidRPr="00084871" w:rsidRDefault="00084871" w:rsidP="00223B6D">
      <w:pPr>
        <w:spacing w:line="276" w:lineRule="auto"/>
        <w:rPr>
          <w:lang w:val="en-US" w:eastAsia="de-DE"/>
        </w:rPr>
      </w:pPr>
    </w:p>
    <w:p w:rsidR="00084871" w:rsidRDefault="00084871" w:rsidP="00223B6D">
      <w:pPr>
        <w:spacing w:line="276" w:lineRule="auto"/>
        <w:rPr>
          <w:lang w:val="en-US" w:eastAsia="de-DE"/>
        </w:rPr>
      </w:pPr>
      <w:r w:rsidRPr="00084871">
        <w:rPr>
          <w:lang w:val="en-US" w:eastAsia="de-DE"/>
        </w:rPr>
        <w:t xml:space="preserve">Since conditioning on all relevant covariates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is restricted in case of high dimensions, Rosenbaum and Rubin (1983) suggest using balancing scores such as the propensity score. It requires that all variables relevant to the probability of being selected into treatment may be observed and included </w:t>
      </w:r>
      <w:proofErr w:type="gramStart"/>
      <w:r w:rsidRPr="00084871">
        <w:rPr>
          <w:lang w:val="en-US" w:eastAsia="de-DE"/>
        </w:rPr>
        <w:t xml:space="preserve">in </w:t>
      </w:r>
      <m:oMath>
        <w:proofErr w:type="gramEnd"/>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w:t>
      </w:r>
      <w:r w:rsidR="00E32B1D">
        <w:rPr>
          <w:lang w:val="en-US" w:eastAsia="de-DE"/>
        </w:rPr>
        <w:t>In a first step, t</w:t>
      </w:r>
      <w:r w:rsidRPr="00084871">
        <w:rPr>
          <w:lang w:val="en-US" w:eastAsia="de-DE"/>
        </w:rPr>
        <w:t xml:space="preserve">he PSM estimates each individual's probability of receiving the </w:t>
      </w:r>
      <w:proofErr w:type="gramStart"/>
      <w:r w:rsidRPr="00084871">
        <w:rPr>
          <w:lang w:val="en-US" w:eastAsia="de-DE"/>
        </w:rPr>
        <w:t xml:space="preserve">treatment </w:t>
      </w:r>
      <m:oMath>
        <w:proofErr w:type="gramEnd"/>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ij</m:t>
            </m:r>
          </m:sub>
        </m:sSub>
        <m:r>
          <w:rPr>
            <w:rFonts w:ascii="Cambria Math" w:hAnsi="Cambria Math"/>
            <w:lang w:val="en-US" w:eastAsia="de-DE"/>
          </w:rPr>
          <m:t>= 1|</m:t>
        </m:r>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r>
          <w:rPr>
            <w:rFonts w:ascii="Cambria Math" w:hAnsi="Cambria Math"/>
            <w:lang w:val="en-US" w:eastAsia="de-DE"/>
          </w:rPr>
          <m:t>)</m:t>
        </m:r>
      </m:oMath>
      <w:r w:rsidR="00BB3562">
        <w:rPr>
          <w:rFonts w:eastAsiaTheme="minorEastAsia"/>
          <w:lang w:val="en-US" w:eastAsia="de-DE"/>
        </w:rPr>
        <w:t>,</w:t>
      </w:r>
      <w:r w:rsidRPr="00084871">
        <w:rPr>
          <w:lang w:val="en-US" w:eastAsia="de-DE"/>
        </w:rPr>
        <w:t xml:space="preserve"> i.e. the probability of adopting contactless payment for payment method j, conditional on the observables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and matches individuals with similar predicted propensities </w:t>
      </w:r>
      <m:oMath>
        <m:acc>
          <m:accPr>
            <m:ctrlPr>
              <w:rPr>
                <w:rFonts w:ascii="Cambria Math" w:hAnsi="Cambria Math"/>
                <w:i/>
                <w:lang w:val="en-US" w:eastAsia="de-DE"/>
              </w:rPr>
            </m:ctrlPr>
          </m:accPr>
          <m:e>
            <m:r>
              <w:rPr>
                <w:rFonts w:ascii="Cambria Math" w:hAnsi="Cambria Math"/>
                <w:lang w:val="en-US" w:eastAsia="de-DE"/>
              </w:rPr>
              <m:t>p</m:t>
            </m:r>
          </m:e>
        </m:acc>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r>
          <w:rPr>
            <w:rFonts w:ascii="Cambria Math" w:hAnsi="Cambria Math"/>
            <w:lang w:val="en-US" w:eastAsia="de-DE"/>
          </w:rPr>
          <m:t>)</m:t>
        </m:r>
      </m:oMath>
      <w:r w:rsidR="00BB3562">
        <w:rPr>
          <w:rFonts w:eastAsiaTheme="minorEastAsia"/>
          <w:lang w:val="en-US" w:eastAsia="de-DE"/>
        </w:rPr>
        <w:t xml:space="preserve"> </w:t>
      </w:r>
      <w:r w:rsidRPr="00084871">
        <w:rPr>
          <w:lang w:val="en-US" w:eastAsia="de-DE"/>
        </w:rPr>
        <w:t xml:space="preserve">in </w:t>
      </w:r>
      <w:r w:rsidR="00E32B1D">
        <w:rPr>
          <w:lang w:val="en-US" w:eastAsia="de-DE"/>
        </w:rPr>
        <w:t>a</w:t>
      </w:r>
      <w:r w:rsidR="00E32B1D" w:rsidRPr="00084871">
        <w:rPr>
          <w:lang w:val="en-US" w:eastAsia="de-DE"/>
        </w:rPr>
        <w:t xml:space="preserve"> </w:t>
      </w:r>
      <w:r w:rsidRPr="00084871">
        <w:rPr>
          <w:lang w:val="en-US" w:eastAsia="de-DE"/>
        </w:rPr>
        <w:t xml:space="preserve">second step. This allows the untreated units to be used to construct an unbiased counterfactual for the treatment group. Based on the propensities provided by </w:t>
      </w:r>
      <w:proofErr w:type="spellStart"/>
      <w:r w:rsidRPr="00084871">
        <w:rPr>
          <w:lang w:val="en-US" w:eastAsia="de-DE"/>
        </w:rPr>
        <w:t>Logit</w:t>
      </w:r>
      <w:proofErr w:type="spellEnd"/>
      <w:r w:rsidRPr="00084871">
        <w:rPr>
          <w:lang w:val="en-US" w:eastAsia="de-DE"/>
        </w:rPr>
        <w:t xml:space="preserve"> or </w:t>
      </w:r>
      <w:proofErr w:type="spellStart"/>
      <w:r w:rsidRPr="00084871">
        <w:rPr>
          <w:lang w:val="en-US" w:eastAsia="de-DE"/>
        </w:rPr>
        <w:t>Probit</w:t>
      </w:r>
      <w:proofErr w:type="spellEnd"/>
      <w:r w:rsidRPr="00084871">
        <w:rPr>
          <w:lang w:val="en-US" w:eastAsia="de-DE"/>
        </w:rPr>
        <w:t xml:space="preserve"> estimation, the ratio of spending of seemingly similar individuals is then compared and averaged. The PSM estimators for </w:t>
      </w:r>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ATE|X</m:t>
            </m:r>
          </m:sub>
        </m:sSub>
      </m:oMath>
      <w:r w:rsidRPr="00084871">
        <w:rPr>
          <w:lang w:val="en-US" w:eastAsia="de-DE"/>
        </w:rPr>
        <w:t xml:space="preserve"> and </w:t>
      </w:r>
      <m:oMath>
        <m:sSub>
          <m:sSubPr>
            <m:ctrlPr>
              <w:rPr>
                <w:rFonts w:ascii="Cambria Math" w:hAnsi="Cambria Math"/>
                <w:i/>
                <w:lang w:val="en-US" w:eastAsia="de-DE"/>
              </w:rPr>
            </m:ctrlPr>
          </m:sSubPr>
          <m:e>
            <m:r>
              <w:rPr>
                <w:rFonts w:ascii="Cambria Math" w:hAnsi="Cambria Math"/>
                <w:lang w:val="en-US" w:eastAsia="de-DE"/>
              </w:rPr>
              <m:t>τ</m:t>
            </m:r>
          </m:e>
          <m:sub>
            <m:r>
              <w:rPr>
                <w:rFonts w:ascii="Cambria Math" w:hAnsi="Cambria Math"/>
                <w:lang w:val="en-US" w:eastAsia="de-DE"/>
              </w:rPr>
              <m:t>ATT|X</m:t>
            </m:r>
          </m:sub>
        </m:sSub>
      </m:oMath>
      <w:r w:rsidRPr="00084871">
        <w:rPr>
          <w:lang w:val="en-US" w:eastAsia="de-DE"/>
        </w:rPr>
        <w:t xml:space="preserve"> then result in</w:t>
      </w:r>
      <w:r>
        <w:rPr>
          <w:lang w:val="en-US" w:eastAsia="de-DE"/>
        </w:rPr>
        <w:t xml:space="preserve"> </w:t>
      </w:r>
    </w:p>
    <w:p w:rsidR="00EF3B71" w:rsidRDefault="00EF3B71" w:rsidP="00223B6D">
      <w:pPr>
        <w:spacing w:line="276" w:lineRule="auto"/>
        <w:rPr>
          <w:lang w:val="en-US" w:eastAsia="de-DE"/>
        </w:rPr>
      </w:pPr>
    </w:p>
    <w:p w:rsidR="00084871" w:rsidRPr="00166E5F" w:rsidRDefault="006A23B6" w:rsidP="00223B6D">
      <w:pPr>
        <w:spacing w:line="276" w:lineRule="auto"/>
        <w:rPr>
          <w:rFonts w:eastAsiaTheme="minorEastAsia"/>
          <w:lang w:val="en-US" w:eastAsia="de-DE"/>
        </w:rPr>
      </w:pPr>
      <m:oMathPara>
        <m:oMath>
          <m:acc>
            <m:accPr>
              <m:ctrlPr>
                <w:rPr>
                  <w:rFonts w:ascii="Cambria Math" w:hAnsi="Cambria Math"/>
                  <w:i/>
                  <w:lang w:val="en-US" w:eastAsia="de-DE"/>
                </w:rPr>
              </m:ctrlPr>
            </m:accPr>
            <m:e>
              <m:r>
                <w:rPr>
                  <w:rFonts w:ascii="Cambria Math" w:hAnsi="Cambria Math"/>
                  <w:lang w:val="en-US" w:eastAsia="de-DE"/>
                </w:rPr>
                <m:t>ATE</m:t>
              </m:r>
            </m:e>
          </m:acc>
          <m:r>
            <w:rPr>
              <w:rFonts w:ascii="Cambria Math" w:hAnsi="Cambria Math"/>
              <w:lang w:val="en-US" w:eastAsia="de-DE"/>
            </w:rPr>
            <m:t xml:space="preserve">= </m:t>
          </m:r>
          <m:sSub>
            <m:sSubPr>
              <m:ctrlPr>
                <w:rPr>
                  <w:rFonts w:ascii="Cambria Math" w:hAnsi="Cambria Math"/>
                  <w:i/>
                  <w:lang w:val="en-US" w:eastAsia="de-DE"/>
                </w:rPr>
              </m:ctrlPr>
            </m:sSubPr>
            <m:e>
              <m:acc>
                <m:accPr>
                  <m:ctrlPr>
                    <w:rPr>
                      <w:rFonts w:ascii="Cambria Math" w:hAnsi="Cambria Math"/>
                      <w:i/>
                      <w:lang w:val="en-US" w:eastAsia="de-DE"/>
                    </w:rPr>
                  </m:ctrlPr>
                </m:accPr>
                <m:e>
                  <m:r>
                    <w:rPr>
                      <w:rFonts w:ascii="Cambria Math" w:hAnsi="Cambria Math"/>
                      <w:lang w:val="en-US" w:eastAsia="de-DE"/>
                    </w:rPr>
                    <m:t>τ</m:t>
                  </m:r>
                </m:e>
              </m:acc>
            </m:e>
            <m:sub>
              <m:r>
                <w:rPr>
                  <w:rFonts w:ascii="Cambria Math" w:hAnsi="Cambria Math"/>
                  <w:lang w:val="en-US" w:eastAsia="de-DE"/>
                </w:rPr>
                <m:t>ATE|X</m:t>
              </m:r>
            </m:sub>
          </m:sSub>
          <m:r>
            <w:rPr>
              <w:rFonts w:ascii="Cambria Math" w:hAnsi="Cambria Math"/>
              <w:lang w:val="en-US" w:eastAsia="de-DE"/>
            </w:rPr>
            <m:t>=</m:t>
          </m:r>
          <m:f>
            <m:fPr>
              <m:ctrlPr>
                <w:rPr>
                  <w:rFonts w:ascii="Cambria Math" w:hAnsi="Cambria Math"/>
                  <w:i/>
                  <w:lang w:val="en-US" w:eastAsia="de-DE"/>
                </w:rPr>
              </m:ctrlPr>
            </m:fPr>
            <m:num>
              <m:r>
                <w:rPr>
                  <w:rFonts w:ascii="Cambria Math" w:hAnsi="Cambria Math"/>
                  <w:lang w:val="en-US" w:eastAsia="de-DE"/>
                </w:rPr>
                <m:t>1</m:t>
              </m:r>
            </m:num>
            <m:den>
              <m:r>
                <w:rPr>
                  <w:rFonts w:ascii="Cambria Math" w:hAnsi="Cambria Math"/>
                  <w:lang w:val="en-US" w:eastAsia="de-DE"/>
                </w:rPr>
                <m:t>N</m:t>
              </m:r>
            </m:den>
          </m:f>
          <m:nary>
            <m:naryPr>
              <m:chr m:val="∑"/>
              <m:limLoc m:val="undOvr"/>
              <m:ctrlPr>
                <w:rPr>
                  <w:rFonts w:ascii="Cambria Math" w:hAnsi="Cambria Math"/>
                  <w:i/>
                  <w:lang w:val="en-US" w:eastAsia="de-DE"/>
                </w:rPr>
              </m:ctrlPr>
            </m:naryPr>
            <m:sub>
              <m:r>
                <w:rPr>
                  <w:rFonts w:ascii="Cambria Math" w:hAnsi="Cambria Math"/>
                  <w:lang w:val="en-US" w:eastAsia="de-DE"/>
                </w:rPr>
                <m:t>i=1</m:t>
              </m:r>
            </m:sub>
            <m:sup>
              <m:r>
                <w:rPr>
                  <w:rFonts w:ascii="Cambria Math" w:hAnsi="Cambria Math"/>
                  <w:lang w:val="en-US" w:eastAsia="de-DE"/>
                </w:rPr>
                <m:t>N</m:t>
              </m:r>
            </m:sup>
            <m:e>
              <m:f>
                <m:fPr>
                  <m:ctrlPr>
                    <w:rPr>
                      <w:rFonts w:ascii="Cambria Math" w:hAnsi="Cambria Math"/>
                      <w:i/>
                      <w:lang w:val="en-US" w:eastAsia="de-DE"/>
                    </w:rPr>
                  </m:ctrlPr>
                </m:fPr>
                <m:num>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m:t>
                  </m:r>
                  <m:acc>
                    <m:accPr>
                      <m:ctrlPr>
                        <w:rPr>
                          <w:rFonts w:ascii="Cambria Math" w:hAnsi="Cambria Math"/>
                          <w:i/>
                          <w:lang w:val="en-US" w:eastAsia="de-DE"/>
                        </w:rPr>
                      </m:ctrlPr>
                    </m:accPr>
                    <m:e>
                      <m:r>
                        <w:rPr>
                          <w:rFonts w:ascii="Cambria Math" w:hAnsi="Cambria Math"/>
                          <w:lang w:val="en-US" w:eastAsia="de-DE"/>
                        </w:rPr>
                        <m:t>p</m:t>
                      </m:r>
                    </m:e>
                  </m:acc>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m:t>
                  </m:r>
                </m:num>
                <m:den>
                  <m:acc>
                    <m:accPr>
                      <m:ctrlPr>
                        <w:rPr>
                          <w:rFonts w:ascii="Cambria Math" w:hAnsi="Cambria Math"/>
                          <w:i/>
                          <w:lang w:val="en-US" w:eastAsia="de-DE"/>
                        </w:rPr>
                      </m:ctrlPr>
                    </m:accPr>
                    <m:e>
                      <m:r>
                        <w:rPr>
                          <w:rFonts w:ascii="Cambria Math" w:hAnsi="Cambria Math"/>
                          <w:lang w:val="en-US" w:eastAsia="de-DE"/>
                        </w:rPr>
                        <m:t>p</m:t>
                      </m:r>
                    </m:e>
                  </m:acc>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[1-</m:t>
                  </m:r>
                  <m:acc>
                    <m:accPr>
                      <m:ctrlPr>
                        <w:rPr>
                          <w:rFonts w:ascii="Cambria Math" w:hAnsi="Cambria Math"/>
                          <w:i/>
                          <w:lang w:val="en-US" w:eastAsia="de-DE"/>
                        </w:rPr>
                      </m:ctrlPr>
                    </m:accPr>
                    <m:e>
                      <m:r>
                        <w:rPr>
                          <w:rFonts w:ascii="Cambria Math" w:hAnsi="Cambria Math"/>
                          <w:lang w:val="en-US" w:eastAsia="de-DE"/>
                        </w:rPr>
                        <m:t>p</m:t>
                      </m:r>
                    </m:e>
                  </m:acc>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m:t>
                  </m:r>
                </m:den>
              </m:f>
            </m:e>
          </m:nary>
          <m:r>
            <w:rPr>
              <w:rFonts w:ascii="Cambria Math" w:hAnsi="Cambria Math"/>
              <w:lang w:val="en-US" w:eastAsia="de-DE"/>
            </w:rPr>
            <m:t xml:space="preserve"> ,</m:t>
          </m:r>
        </m:oMath>
      </m:oMathPara>
    </w:p>
    <w:p w:rsidR="00166E5F" w:rsidRDefault="006A23B6" w:rsidP="00223B6D">
      <w:pPr>
        <w:spacing w:line="276" w:lineRule="auto"/>
        <w:rPr>
          <w:lang w:val="en-US" w:eastAsia="de-DE"/>
        </w:rPr>
      </w:pPr>
      <m:oMathPara>
        <m:oMath>
          <m:acc>
            <m:accPr>
              <m:ctrlPr>
                <w:rPr>
                  <w:rFonts w:ascii="Cambria Math" w:hAnsi="Cambria Math"/>
                  <w:i/>
                  <w:lang w:val="en-US" w:eastAsia="de-DE"/>
                </w:rPr>
              </m:ctrlPr>
            </m:accPr>
            <m:e>
              <m:r>
                <w:rPr>
                  <w:rFonts w:ascii="Cambria Math" w:hAnsi="Cambria Math"/>
                  <w:lang w:val="en-US" w:eastAsia="de-DE"/>
                </w:rPr>
                <m:t>ATT</m:t>
              </m:r>
            </m:e>
          </m:acc>
          <m:r>
            <w:rPr>
              <w:rFonts w:ascii="Cambria Math" w:hAnsi="Cambria Math"/>
              <w:lang w:val="en-US" w:eastAsia="de-DE"/>
            </w:rPr>
            <m:t xml:space="preserve">= </m:t>
          </m:r>
          <m:sSub>
            <m:sSubPr>
              <m:ctrlPr>
                <w:rPr>
                  <w:rFonts w:ascii="Cambria Math" w:hAnsi="Cambria Math"/>
                  <w:i/>
                  <w:lang w:val="en-US" w:eastAsia="de-DE"/>
                </w:rPr>
              </m:ctrlPr>
            </m:sSubPr>
            <m:e>
              <m:acc>
                <m:accPr>
                  <m:ctrlPr>
                    <w:rPr>
                      <w:rFonts w:ascii="Cambria Math" w:hAnsi="Cambria Math"/>
                      <w:i/>
                      <w:lang w:val="en-US" w:eastAsia="de-DE"/>
                    </w:rPr>
                  </m:ctrlPr>
                </m:accPr>
                <m:e>
                  <m:r>
                    <w:rPr>
                      <w:rFonts w:ascii="Cambria Math" w:hAnsi="Cambria Math"/>
                      <w:lang w:val="en-US" w:eastAsia="de-DE"/>
                    </w:rPr>
                    <m:t>τ</m:t>
                  </m:r>
                </m:e>
              </m:acc>
            </m:e>
            <m:sub>
              <m:r>
                <w:rPr>
                  <w:rFonts w:ascii="Cambria Math" w:hAnsi="Cambria Math"/>
                  <w:lang w:val="en-US" w:eastAsia="de-DE"/>
                </w:rPr>
                <m:t>ATT|X</m:t>
              </m:r>
            </m:sub>
          </m:sSub>
          <m:r>
            <w:rPr>
              <w:rFonts w:ascii="Cambria Math" w:hAnsi="Cambria Math"/>
              <w:lang w:val="en-US" w:eastAsia="de-DE"/>
            </w:rPr>
            <m:t>=</m:t>
          </m:r>
          <m:f>
            <m:fPr>
              <m:ctrlPr>
                <w:rPr>
                  <w:rFonts w:ascii="Cambria Math" w:hAnsi="Cambria Math"/>
                  <w:i/>
                  <w:lang w:val="en-US" w:eastAsia="de-DE"/>
                </w:rPr>
              </m:ctrlPr>
            </m:fPr>
            <m:num>
              <m:r>
                <w:rPr>
                  <w:rFonts w:ascii="Cambria Math" w:hAnsi="Cambria Math"/>
                  <w:lang w:val="en-US" w:eastAsia="de-DE"/>
                </w:rPr>
                <m:t>1</m:t>
              </m:r>
            </m:num>
            <m:den>
              <m:sSub>
                <m:sSubPr>
                  <m:ctrlPr>
                    <w:rPr>
                      <w:rFonts w:ascii="Cambria Math" w:hAnsi="Cambria Math"/>
                      <w:i/>
                      <w:lang w:val="en-US" w:eastAsia="de-DE"/>
                    </w:rPr>
                  </m:ctrlPr>
                </m:sSubPr>
                <m:e>
                  <m:r>
                    <w:rPr>
                      <w:rFonts w:ascii="Cambria Math" w:hAnsi="Cambria Math"/>
                      <w:lang w:val="en-US" w:eastAsia="de-DE"/>
                    </w:rPr>
                    <m:t>N</m:t>
                  </m:r>
                </m:e>
                <m:sub>
                  <m:r>
                    <w:rPr>
                      <w:rFonts w:ascii="Cambria Math" w:hAnsi="Cambria Math"/>
                      <w:lang w:val="en-US" w:eastAsia="de-DE"/>
                    </w:rPr>
                    <m:t>1</m:t>
                  </m:r>
                </m:sub>
              </m:sSub>
            </m:den>
          </m:f>
          <m:nary>
            <m:naryPr>
              <m:chr m:val="∑"/>
              <m:limLoc m:val="undOvr"/>
              <m:ctrlPr>
                <w:rPr>
                  <w:rFonts w:ascii="Cambria Math" w:hAnsi="Cambria Math"/>
                  <w:i/>
                  <w:lang w:val="en-US" w:eastAsia="de-DE"/>
                </w:rPr>
              </m:ctrlPr>
            </m:naryPr>
            <m:sub>
              <m:r>
                <w:rPr>
                  <w:rFonts w:ascii="Cambria Math" w:hAnsi="Cambria Math"/>
                  <w:lang w:val="en-US" w:eastAsia="de-DE"/>
                </w:rPr>
                <m:t>i=1</m:t>
              </m:r>
            </m:sub>
            <m:sup>
              <m:sSub>
                <m:sSubPr>
                  <m:ctrlPr>
                    <w:rPr>
                      <w:rFonts w:ascii="Cambria Math" w:hAnsi="Cambria Math"/>
                      <w:i/>
                      <w:lang w:val="en-US" w:eastAsia="de-DE"/>
                    </w:rPr>
                  </m:ctrlPr>
                </m:sSubPr>
                <m:e>
                  <m:r>
                    <w:rPr>
                      <w:rFonts w:ascii="Cambria Math" w:hAnsi="Cambria Math"/>
                      <w:lang w:val="en-US" w:eastAsia="de-DE"/>
                    </w:rPr>
                    <m:t>N</m:t>
                  </m:r>
                </m:e>
                <m:sub>
                  <m:r>
                    <w:rPr>
                      <w:rFonts w:ascii="Cambria Math" w:hAnsi="Cambria Math"/>
                      <w:lang w:val="en-US" w:eastAsia="de-DE"/>
                    </w:rPr>
                    <m:t>1</m:t>
                  </m:r>
                </m:sub>
              </m:sSub>
            </m:sup>
            <m:e>
              <m:f>
                <m:fPr>
                  <m:ctrlPr>
                    <w:rPr>
                      <w:rFonts w:ascii="Cambria Math" w:hAnsi="Cambria Math"/>
                      <w:i/>
                      <w:lang w:val="en-US" w:eastAsia="de-DE"/>
                    </w:rPr>
                  </m:ctrlPr>
                </m:fPr>
                <m:num>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m:t>
                  </m:r>
                  <m:acc>
                    <m:accPr>
                      <m:ctrlPr>
                        <w:rPr>
                          <w:rFonts w:ascii="Cambria Math" w:hAnsi="Cambria Math"/>
                          <w:i/>
                          <w:lang w:val="en-US" w:eastAsia="de-DE"/>
                        </w:rPr>
                      </m:ctrlPr>
                    </m:accPr>
                    <m:e>
                      <m:r>
                        <w:rPr>
                          <w:rFonts w:ascii="Cambria Math" w:hAnsi="Cambria Math"/>
                          <w:lang w:val="en-US" w:eastAsia="de-DE"/>
                        </w:rPr>
                        <m:t>p</m:t>
                      </m:r>
                    </m:e>
                  </m:acc>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TRANSR</m:t>
                      </m:r>
                    </m:e>
                    <m:sub>
                      <m:r>
                        <w:rPr>
                          <w:rFonts w:ascii="Cambria Math" w:hAnsi="Cambria Math"/>
                          <w:lang w:val="en-US" w:eastAsia="de-DE"/>
                        </w:rPr>
                        <m:t>ij</m:t>
                      </m:r>
                    </m:sub>
                  </m:sSub>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r>
                    <w:rPr>
                      <w:rFonts w:ascii="Cambria Math" w:hAnsi="Cambria Math"/>
                      <w:lang w:val="en-US" w:eastAsia="de-DE"/>
                    </w:rPr>
                    <m:t>)</m:t>
                  </m:r>
                </m:num>
                <m:den>
                  <m:r>
                    <w:rPr>
                      <w:rFonts w:ascii="Cambria Math" w:hAnsi="Cambria Math"/>
                      <w:lang w:val="en-US" w:eastAsia="de-DE"/>
                    </w:rPr>
                    <m:t>1-</m:t>
                  </m:r>
                  <m:acc>
                    <m:accPr>
                      <m:ctrlPr>
                        <w:rPr>
                          <w:rFonts w:ascii="Cambria Math" w:hAnsi="Cambria Math"/>
                          <w:i/>
                          <w:lang w:val="en-US" w:eastAsia="de-DE"/>
                        </w:rPr>
                      </m:ctrlPr>
                    </m:accPr>
                    <m:e>
                      <m:r>
                        <w:rPr>
                          <w:rFonts w:ascii="Cambria Math" w:hAnsi="Cambria Math"/>
                          <w:lang w:val="en-US" w:eastAsia="de-DE"/>
                        </w:rPr>
                        <m:t>p</m:t>
                      </m:r>
                    </m:e>
                  </m:acc>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den>
              </m:f>
            </m:e>
          </m:nary>
          <m:r>
            <w:rPr>
              <w:rFonts w:ascii="Cambria Math" w:hAnsi="Cambria Math"/>
              <w:lang w:val="en-US" w:eastAsia="de-DE"/>
            </w:rPr>
            <m:t xml:space="preserve"> ,</m:t>
          </m:r>
        </m:oMath>
      </m:oMathPara>
    </w:p>
    <w:p w:rsidR="00084871" w:rsidRDefault="00084871" w:rsidP="00223B6D">
      <w:pPr>
        <w:spacing w:line="276" w:lineRule="auto"/>
        <w:rPr>
          <w:lang w:val="en-US" w:eastAsia="de-DE"/>
        </w:rPr>
      </w:pPr>
    </w:p>
    <w:p w:rsidR="00084871" w:rsidRPr="00084871" w:rsidRDefault="00084871" w:rsidP="00223B6D">
      <w:pPr>
        <w:spacing w:line="276" w:lineRule="auto"/>
        <w:rPr>
          <w:lang w:val="en-US" w:eastAsia="de-DE"/>
        </w:rPr>
      </w:pPr>
      <w:proofErr w:type="gramStart"/>
      <w:r w:rsidRPr="00084871">
        <w:rPr>
          <w:lang w:val="en-US" w:eastAsia="de-DE"/>
        </w:rPr>
        <w:t>whereas</w:t>
      </w:r>
      <w:proofErr w:type="gramEnd"/>
      <w:r w:rsidRPr="00084871">
        <w:rPr>
          <w:lang w:val="en-US" w:eastAsia="de-DE"/>
        </w:rPr>
        <w:t xml:space="preserve"> </w:t>
      </w:r>
      <m:oMath>
        <m:sSub>
          <m:sSubPr>
            <m:ctrlPr>
              <w:rPr>
                <w:rFonts w:ascii="Cambria Math" w:hAnsi="Cambria Math"/>
                <w:i/>
                <w:lang w:val="en-US" w:eastAsia="de-DE"/>
              </w:rPr>
            </m:ctrlPr>
          </m:sSubPr>
          <m:e>
            <m:r>
              <w:rPr>
                <w:rFonts w:ascii="Cambria Math" w:hAnsi="Cambria Math"/>
                <w:lang w:val="en-US" w:eastAsia="de-DE"/>
              </w:rPr>
              <m:t>N</m:t>
            </m:r>
          </m:e>
          <m:sub>
            <m:r>
              <w:rPr>
                <w:rFonts w:ascii="Cambria Math" w:hAnsi="Cambria Math"/>
                <w:lang w:val="en-US" w:eastAsia="de-DE"/>
              </w:rPr>
              <m:t>1</m:t>
            </m:r>
          </m:sub>
        </m:sSub>
      </m:oMath>
      <w:r w:rsidR="00EF3B71">
        <w:rPr>
          <w:rFonts w:eastAsiaTheme="minorEastAsia"/>
          <w:lang w:val="en-US" w:eastAsia="de-DE"/>
        </w:rPr>
        <w:t xml:space="preserve"> </w:t>
      </w:r>
      <w:r w:rsidRPr="00084871">
        <w:rPr>
          <w:lang w:val="en-US" w:eastAsia="de-DE"/>
        </w:rPr>
        <w:t>equals the number of innovators.</w:t>
      </w:r>
      <w:r w:rsidR="005379F2">
        <w:rPr>
          <w:lang w:val="en-US" w:eastAsia="de-DE"/>
        </w:rPr>
        <w:t xml:space="preserve"> The estimators are the mean diff</w:t>
      </w:r>
      <w:r w:rsidRPr="00084871">
        <w:rPr>
          <w:lang w:val="en-US" w:eastAsia="de-DE"/>
        </w:rPr>
        <w:t>erences in outcomes weighted by the propensity score.</w:t>
      </w:r>
    </w:p>
    <w:p w:rsidR="00084871" w:rsidRPr="00084871" w:rsidRDefault="00084871" w:rsidP="00223B6D">
      <w:pPr>
        <w:spacing w:line="276" w:lineRule="auto"/>
        <w:rPr>
          <w:lang w:val="en-US" w:eastAsia="de-DE"/>
        </w:rPr>
      </w:pPr>
    </w:p>
    <w:p w:rsidR="00084871" w:rsidRDefault="00084871" w:rsidP="00223B6D">
      <w:pPr>
        <w:spacing w:line="276" w:lineRule="auto"/>
        <w:rPr>
          <w:lang w:val="en-US" w:eastAsia="de-DE"/>
        </w:rPr>
      </w:pPr>
      <w:r w:rsidRPr="00084871">
        <w:rPr>
          <w:lang w:val="en-US" w:eastAsia="de-DE"/>
        </w:rPr>
        <w:t xml:space="preserve">Another requirement besides the conditional independence assumption is the overlap assumption ensuring that individuals with the same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have positive probability of both adopting and non-adopting contactless payment, such </w:t>
      </w:r>
      <w:proofErr w:type="gramStart"/>
      <w:r w:rsidRPr="00084871">
        <w:rPr>
          <w:lang w:val="en-US" w:eastAsia="de-DE"/>
        </w:rPr>
        <w:t xml:space="preserve">that </w:t>
      </w:r>
      <m:oMath>
        <w:proofErr w:type="gramEnd"/>
        <m:sSub>
          <m:sSubPr>
            <m:ctrlPr>
              <w:rPr>
                <w:rFonts w:ascii="Cambria Math" w:hAnsi="Cambria Math"/>
                <w:i/>
                <w:lang w:val="en-US" w:eastAsia="de-DE"/>
              </w:rPr>
            </m:ctrlPr>
          </m:sSubPr>
          <m:e>
            <m:r>
              <w:rPr>
                <w:rFonts w:ascii="Cambria Math" w:hAnsi="Cambria Math"/>
                <w:lang w:val="en-US" w:eastAsia="de-DE"/>
              </w:rPr>
              <m:t>0&lt;p(I</m:t>
            </m:r>
          </m:e>
          <m:sub>
            <m:r>
              <w:rPr>
                <w:rFonts w:ascii="Cambria Math" w:hAnsi="Cambria Math"/>
                <w:lang w:val="en-US" w:eastAsia="de-DE"/>
              </w:rPr>
              <m:t>ij</m:t>
            </m:r>
          </m:sub>
        </m:sSub>
        <m:r>
          <w:rPr>
            <w:rFonts w:ascii="Cambria Math" w:hAnsi="Cambria Math"/>
            <w:lang w:val="en-US" w:eastAsia="de-DE"/>
          </w:rPr>
          <m:t>= 1</m:t>
        </m:r>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&lt;1</m:t>
        </m:r>
      </m:oMath>
      <w:r w:rsidRPr="00084871">
        <w:rPr>
          <w:lang w:val="en-US" w:eastAsia="de-DE"/>
        </w:rPr>
        <w:t>. This ensures to have a comparison group in the sample.</w:t>
      </w:r>
    </w:p>
    <w:p w:rsidR="00084871" w:rsidRDefault="00084871" w:rsidP="00223B6D">
      <w:pPr>
        <w:spacing w:line="276" w:lineRule="auto"/>
        <w:rPr>
          <w:lang w:val="en-US" w:eastAsia="de-DE"/>
        </w:rPr>
      </w:pPr>
    </w:p>
    <w:p w:rsidR="00084871" w:rsidRDefault="00084871" w:rsidP="00223B6D">
      <w:pPr>
        <w:pStyle w:val="Nadpis2"/>
        <w:spacing w:line="276" w:lineRule="auto"/>
        <w:rPr>
          <w:lang w:val="en-US" w:eastAsia="de-DE"/>
        </w:rPr>
      </w:pPr>
      <w:r>
        <w:rPr>
          <w:lang w:val="en-US" w:eastAsia="de-DE"/>
        </w:rPr>
        <w:t>Sensitivity Analysis</w:t>
      </w:r>
    </w:p>
    <w:p w:rsidR="00084871" w:rsidRDefault="00084871" w:rsidP="00223B6D">
      <w:pPr>
        <w:spacing w:line="276" w:lineRule="auto"/>
        <w:rPr>
          <w:lang w:val="en-US" w:eastAsia="de-DE"/>
        </w:rPr>
      </w:pPr>
      <w:r w:rsidRPr="00084871">
        <w:rPr>
          <w:lang w:val="en-US" w:eastAsia="de-DE"/>
        </w:rPr>
        <w:t>If selection is not exclusively on observables, the estima</w:t>
      </w:r>
      <w:r w:rsidR="00240CB2">
        <w:rPr>
          <w:lang w:val="en-US" w:eastAsia="de-DE"/>
        </w:rPr>
        <w:t>tor will be both biased and ineffi</w:t>
      </w:r>
      <w:r w:rsidRPr="00084871">
        <w:rPr>
          <w:lang w:val="en-US" w:eastAsia="de-DE"/>
        </w:rPr>
        <w:t>cient. In order to check if the estimates are robust and to calculate how sensitive the estimat</w:t>
      </w:r>
      <w:r w:rsidR="006C0DB0">
        <w:rPr>
          <w:lang w:val="en-US" w:eastAsia="de-DE"/>
        </w:rPr>
        <w:t>es are to unobserved variables</w:t>
      </w:r>
      <w:r w:rsidRPr="00084871">
        <w:rPr>
          <w:lang w:val="en-US" w:eastAsia="de-DE"/>
        </w:rPr>
        <w:t>, I estimate</w:t>
      </w:r>
      <w:r w:rsidR="00E32B1D">
        <w:rPr>
          <w:lang w:val="en-US" w:eastAsia="de-DE"/>
        </w:rPr>
        <w:t>d</w:t>
      </w:r>
      <w:r w:rsidRPr="00084871">
        <w:rPr>
          <w:lang w:val="en-US" w:eastAsia="de-DE"/>
        </w:rPr>
        <w:t xml:space="preserve"> the Rosenbaum bounds (RB), which provide evidenc</w:t>
      </w:r>
      <w:r w:rsidR="00240CB2">
        <w:rPr>
          <w:lang w:val="en-US" w:eastAsia="de-DE"/>
        </w:rPr>
        <w:t>e on the degree to which signifi</w:t>
      </w:r>
      <w:r w:rsidRPr="00084871">
        <w:rPr>
          <w:lang w:val="en-US" w:eastAsia="de-DE"/>
        </w:rPr>
        <w:t xml:space="preserve">cant results hinge on the </w:t>
      </w:r>
      <w:proofErr w:type="spellStart"/>
      <w:r w:rsidRPr="00084871">
        <w:rPr>
          <w:lang w:val="en-US" w:eastAsia="de-DE"/>
        </w:rPr>
        <w:t>unconfoundedness</w:t>
      </w:r>
      <w:proofErr w:type="spellEnd"/>
      <w:r w:rsidRPr="00084871">
        <w:rPr>
          <w:lang w:val="en-US" w:eastAsia="de-DE"/>
        </w:rPr>
        <w:t xml:space="preserve"> assumption that, however, cannot directly be tested because this would mean to expl</w:t>
      </w:r>
      <w:r w:rsidR="00240CB2">
        <w:rPr>
          <w:lang w:val="en-US" w:eastAsia="de-DE"/>
        </w:rPr>
        <w:t>icitly observe variables that aff</w:t>
      </w:r>
      <w:r w:rsidRPr="00084871">
        <w:rPr>
          <w:lang w:val="en-US" w:eastAsia="de-DE"/>
        </w:rPr>
        <w:t xml:space="preserve">ect </w:t>
      </w:r>
      <w:r w:rsidRPr="00084871">
        <w:rPr>
          <w:lang w:val="en-US" w:eastAsia="de-DE"/>
        </w:rPr>
        <w:lastRenderedPageBreak/>
        <w:t>selection into treatment (Rosenbaum, 2002). The participation probability of payment innovation is given by</w:t>
      </w:r>
    </w:p>
    <w:p w:rsidR="00084871" w:rsidRDefault="00084871" w:rsidP="00223B6D">
      <w:pPr>
        <w:spacing w:line="276" w:lineRule="auto"/>
        <w:rPr>
          <w:lang w:val="en-US" w:eastAsia="de-DE"/>
        </w:rPr>
      </w:pPr>
    </w:p>
    <w:p w:rsidR="00084871" w:rsidRDefault="006A23B6" w:rsidP="00223B6D">
      <w:pPr>
        <w:spacing w:line="276" w:lineRule="auto"/>
        <w:rPr>
          <w:lang w:val="en-US" w:eastAsia="de-DE"/>
        </w:rPr>
      </w:pPr>
      <m:oMathPara>
        <m:oMath>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ij</m:t>
              </m:r>
            </m:sub>
          </m:sSub>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=F</m:t>
          </m:r>
          <m:d>
            <m:dPr>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r>
                <w:rPr>
                  <w:rFonts w:ascii="Cambria Math" w:hAnsi="Cambria Math"/>
                  <w:lang w:val="en-US" w:eastAsia="de-DE"/>
                </w:rPr>
                <m:t>β+γ</m:t>
              </m:r>
              <m:sSub>
                <m:sSubPr>
                  <m:ctrlPr>
                    <w:rPr>
                      <w:rFonts w:ascii="Cambria Math" w:hAnsi="Cambria Math"/>
                      <w:i/>
                      <w:lang w:val="en-US" w:eastAsia="de-DE"/>
                    </w:rPr>
                  </m:ctrlPr>
                </m:sSubPr>
                <m:e>
                  <m:r>
                    <w:rPr>
                      <w:rFonts w:ascii="Cambria Math" w:hAnsi="Cambria Math"/>
                      <w:lang w:val="en-US" w:eastAsia="de-DE"/>
                    </w:rPr>
                    <m:t>u</m:t>
                  </m:r>
                </m:e>
                <m:sub>
                  <m:r>
                    <w:rPr>
                      <w:rFonts w:ascii="Cambria Math" w:hAnsi="Cambria Math"/>
                      <w:lang w:val="en-US" w:eastAsia="de-DE"/>
                    </w:rPr>
                    <m:t>i</m:t>
                  </m:r>
                </m:sub>
              </m:sSub>
            </m:e>
          </m:d>
          <m:r>
            <w:rPr>
              <w:rFonts w:ascii="Cambria Math" w:eastAsiaTheme="minorEastAsia" w:hAnsi="Cambria Math"/>
              <w:lang w:val="en-US" w:eastAsia="de-DE"/>
            </w:rPr>
            <m:t>,</m:t>
          </m:r>
        </m:oMath>
      </m:oMathPara>
    </w:p>
    <w:p w:rsidR="00240CB2" w:rsidRDefault="00240CB2" w:rsidP="00223B6D">
      <w:pPr>
        <w:spacing w:line="276" w:lineRule="auto"/>
        <w:rPr>
          <w:lang w:val="en-US" w:eastAsia="de-DE"/>
        </w:rPr>
      </w:pPr>
    </w:p>
    <w:p w:rsidR="00084871" w:rsidRDefault="00084871" w:rsidP="00223B6D">
      <w:pPr>
        <w:spacing w:line="276" w:lineRule="auto"/>
        <w:rPr>
          <w:lang w:val="en-US" w:eastAsia="de-DE"/>
        </w:rPr>
      </w:pPr>
      <w:proofErr w:type="gramStart"/>
      <w:r w:rsidRPr="00084871">
        <w:rPr>
          <w:lang w:val="en-US" w:eastAsia="de-DE"/>
        </w:rPr>
        <w:t>where</w:t>
      </w:r>
      <w:proofErr w:type="gramEnd"/>
      <w:r w:rsidR="00240CB2">
        <w:rPr>
          <w:lang w:val="en-US" w:eastAsia="de-DE"/>
        </w:rPr>
        <w:t xml:space="preserve"> </w:t>
      </w:r>
      <m:oMath>
        <m:sSub>
          <m:sSubPr>
            <m:ctrlPr>
              <w:rPr>
                <w:rFonts w:ascii="Cambria Math" w:hAnsi="Cambria Math"/>
                <w:i/>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084871">
        <w:rPr>
          <w:lang w:val="en-US" w:eastAsia="de-DE"/>
        </w:rPr>
        <w:t xml:space="preserve"> equals one if individual i receives treatment of payment method j and zero otherwise,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are the observed characteristics for individual i, F is the cumulative</w:t>
      </w:r>
      <w:r w:rsidR="00240CB2">
        <w:rPr>
          <w:lang w:val="en-US" w:eastAsia="de-DE"/>
        </w:rPr>
        <w:t xml:space="preserve"> </w:t>
      </w:r>
      <w:r w:rsidRPr="00084871">
        <w:rPr>
          <w:lang w:val="en-US" w:eastAsia="de-DE"/>
        </w:rPr>
        <w:t xml:space="preserve">density function, </w:t>
      </w:r>
      <m:oMath>
        <m:sSub>
          <m:sSubPr>
            <m:ctrlPr>
              <w:rPr>
                <w:rFonts w:ascii="Cambria Math" w:hAnsi="Cambria Math"/>
                <w:i/>
                <w:lang w:val="en-US" w:eastAsia="de-DE"/>
              </w:rPr>
            </m:ctrlPr>
          </m:sSubPr>
          <m:e>
            <m:r>
              <w:rPr>
                <w:rFonts w:ascii="Cambria Math" w:hAnsi="Cambria Math"/>
                <w:lang w:val="en-US" w:eastAsia="de-DE"/>
              </w:rPr>
              <m:t>u</m:t>
            </m:r>
          </m:e>
          <m:sub>
            <m:r>
              <w:rPr>
                <w:rFonts w:ascii="Cambria Math" w:hAnsi="Cambria Math"/>
                <w:lang w:val="en-US" w:eastAsia="de-DE"/>
              </w:rPr>
              <m:t>i</m:t>
            </m:r>
          </m:sub>
        </m:sSub>
      </m:oMath>
      <w:r w:rsidRPr="00084871">
        <w:rPr>
          <w:lang w:val="en-US" w:eastAsia="de-DE"/>
        </w:rPr>
        <w:t xml:space="preserve"> is the uno</w:t>
      </w:r>
      <w:r w:rsidR="00240CB2">
        <w:rPr>
          <w:lang w:val="en-US" w:eastAsia="de-DE"/>
        </w:rPr>
        <w:t>bserved variable and γ is the eff</w:t>
      </w:r>
      <w:r w:rsidRPr="00084871">
        <w:rPr>
          <w:lang w:val="en-US" w:eastAsia="de-DE"/>
        </w:rPr>
        <w:t xml:space="preserve">ect of </w:t>
      </w:r>
      <m:oMath>
        <m:sSub>
          <m:sSubPr>
            <m:ctrlPr>
              <w:rPr>
                <w:rFonts w:ascii="Cambria Math" w:hAnsi="Cambria Math"/>
                <w:i/>
                <w:lang w:val="en-US" w:eastAsia="de-DE"/>
              </w:rPr>
            </m:ctrlPr>
          </m:sSubPr>
          <m:e>
            <m:r>
              <w:rPr>
                <w:rFonts w:ascii="Cambria Math" w:hAnsi="Cambria Math"/>
                <w:lang w:val="en-US" w:eastAsia="de-DE"/>
              </w:rPr>
              <m:t>u</m:t>
            </m:r>
          </m:e>
          <m:sub>
            <m:r>
              <w:rPr>
                <w:rFonts w:ascii="Cambria Math" w:hAnsi="Cambria Math"/>
                <w:lang w:val="en-US" w:eastAsia="de-DE"/>
              </w:rPr>
              <m:t>i</m:t>
            </m:r>
          </m:sub>
        </m:sSub>
      </m:oMath>
      <w:r w:rsidR="002B0D99">
        <w:rPr>
          <w:rFonts w:eastAsiaTheme="minorEastAsia"/>
          <w:lang w:val="en-US" w:eastAsia="de-DE"/>
        </w:rPr>
        <w:t xml:space="preserve"> on the </w:t>
      </w:r>
      <w:r w:rsidRPr="00084871">
        <w:rPr>
          <w:lang w:val="en-US" w:eastAsia="de-DE"/>
        </w:rPr>
        <w:t>participation decision into treatment. The log-odds ratios</w:t>
      </w:r>
      <w:r w:rsidR="0098378D">
        <w:rPr>
          <w:lang w:val="en-US" w:eastAsia="de-DE"/>
        </w:rPr>
        <w:t xml:space="preserve"> </w:t>
      </w:r>
      <m:oMath>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ij</m:t>
            </m:r>
          </m:sub>
        </m:sSub>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kj</m:t>
            </m:r>
          </m:sub>
        </m:sSub>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k</m:t>
                </m:r>
              </m:sub>
            </m:sSub>
          </m:e>
        </m:d>
        <m:r>
          <w:rPr>
            <w:rFonts w:ascii="Cambria Math" w:hAnsi="Cambria Math"/>
            <w:lang w:val="en-US" w:eastAsia="de-DE"/>
          </w:rPr>
          <m:t>=1</m:t>
        </m:r>
      </m:oMath>
      <w:r w:rsidRPr="00084871">
        <w:rPr>
          <w:lang w:val="en-US" w:eastAsia="de-DE"/>
        </w:rPr>
        <w:t xml:space="preserve"> for matched individuals with the same characteristics</w:t>
      </w:r>
      <m:oMath>
        <m:sSub>
          <m:sSubPr>
            <m:ctrlPr>
              <w:rPr>
                <w:rFonts w:ascii="Cambria Math" w:hAnsi="Cambria Math"/>
                <w:i/>
                <w:lang w:val="en-US" w:eastAsia="de-DE"/>
              </w:rPr>
            </m:ctrlPr>
          </m:sSubPr>
          <m:e>
            <m:r>
              <w:rPr>
                <w:rFonts w:ascii="Cambria Math" w:hAnsi="Cambria Math"/>
                <w:lang w:val="en-US" w:eastAsia="de-DE"/>
              </w:rPr>
              <m:t xml:space="preserve"> X</m:t>
            </m:r>
          </m:e>
          <m:sub>
            <m:r>
              <w:rPr>
                <w:rFonts w:ascii="Cambria Math" w:hAnsi="Cambria Math"/>
                <w:lang w:val="en-US" w:eastAsia="de-DE"/>
              </w:rPr>
              <m:t>i</m:t>
            </m:r>
          </m:sub>
        </m:sSub>
        <m:r>
          <w:rPr>
            <w:rFonts w:ascii="Cambria Math" w:hAnsi="Cambria Math"/>
            <w:lang w:val="en-US" w:eastAsia="de-DE"/>
          </w:rPr>
          <m:t xml:space="preserve">= </m:t>
        </m:r>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k</m:t>
            </m:r>
          </m:sub>
        </m:sSub>
      </m:oMath>
      <w:r w:rsidRPr="00084871">
        <w:rPr>
          <w:lang w:val="en-US" w:eastAsia="de-DE"/>
        </w:rPr>
        <w:t xml:space="preserve"> if there is no hidden bias, γ = 0, implying that the participation probability is exclusively determined by </w:t>
      </w:r>
      <m:oMath>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oMath>
      <w:r w:rsidRPr="00084871">
        <w:rPr>
          <w:lang w:val="en-US" w:eastAsia="de-DE"/>
        </w:rPr>
        <w:t xml:space="preserve"> and there is no unobserved</w:t>
      </w:r>
      <w:r w:rsidR="0098378D">
        <w:rPr>
          <w:lang w:val="en-US" w:eastAsia="de-DE"/>
        </w:rPr>
        <w:t xml:space="preserve"> variable that simultaneously aff</w:t>
      </w:r>
      <w:r w:rsidRPr="00084871">
        <w:rPr>
          <w:lang w:val="en-US" w:eastAsia="de-DE"/>
        </w:rPr>
        <w:t>ect the probability of receiving treatment and the outcome variable. However, two individual</w:t>
      </w:r>
      <w:r w:rsidR="0098378D">
        <w:rPr>
          <w:lang w:val="en-US" w:eastAsia="de-DE"/>
        </w:rPr>
        <w:t>s with identical X will have diff</w:t>
      </w:r>
      <w:r w:rsidRPr="00084871">
        <w:rPr>
          <w:lang w:val="en-US" w:eastAsia="de-DE"/>
        </w:rPr>
        <w:t xml:space="preserve">erent chances of treatment if there is hidden bias, γ &gt; 0, so that the log-odds will </w:t>
      </w:r>
      <w:proofErr w:type="gramStart"/>
      <w:r w:rsidRPr="00084871">
        <w:rPr>
          <w:lang w:val="en-US" w:eastAsia="de-DE"/>
        </w:rPr>
        <w:t xml:space="preserve">be </w:t>
      </w:r>
      <m:oMath>
        <w:proofErr w:type="gramEnd"/>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ij</m:t>
            </m:r>
          </m:sub>
        </m:sSub>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i</m:t>
                </m:r>
              </m:sub>
            </m:sSub>
          </m:e>
        </m:d>
        <m:r>
          <w:rPr>
            <w:rFonts w:ascii="Cambria Math" w:hAnsi="Cambria Math"/>
            <w:lang w:val="en-US" w:eastAsia="de-DE"/>
          </w:rPr>
          <m:t>/</m:t>
        </m:r>
        <m:sSub>
          <m:sSubPr>
            <m:ctrlPr>
              <w:rPr>
                <w:rFonts w:ascii="Cambria Math" w:hAnsi="Cambria Math"/>
                <w:i/>
                <w:lang w:val="en-US" w:eastAsia="de-DE"/>
              </w:rPr>
            </m:ctrlPr>
          </m:sSubPr>
          <m:e>
            <m:r>
              <w:rPr>
                <w:rFonts w:ascii="Cambria Math" w:hAnsi="Cambria Math"/>
                <w:lang w:val="en-US" w:eastAsia="de-DE"/>
              </w:rPr>
              <m:t>p(I</m:t>
            </m:r>
          </m:e>
          <m:sub>
            <m:r>
              <w:rPr>
                <w:rFonts w:ascii="Cambria Math" w:hAnsi="Cambria Math"/>
                <w:lang w:val="en-US" w:eastAsia="de-DE"/>
              </w:rPr>
              <m:t>kj</m:t>
            </m:r>
          </m:sub>
        </m:sSub>
        <m:d>
          <m:dPr>
            <m:begChr m:val="|"/>
            <m:ctrlPr>
              <w:rPr>
                <w:rFonts w:ascii="Cambria Math" w:hAnsi="Cambria Math"/>
                <w:i/>
                <w:lang w:val="en-US" w:eastAsia="de-DE"/>
              </w:rPr>
            </m:ctrlPr>
          </m:dPr>
          <m:e>
            <m:sSub>
              <m:sSubPr>
                <m:ctrlPr>
                  <w:rPr>
                    <w:rFonts w:ascii="Cambria Math" w:hAnsi="Cambria Math"/>
                    <w:i/>
                    <w:lang w:val="en-US" w:eastAsia="de-DE"/>
                  </w:rPr>
                </m:ctrlPr>
              </m:sSubPr>
              <m:e>
                <m:r>
                  <w:rPr>
                    <w:rFonts w:ascii="Cambria Math" w:hAnsi="Cambria Math"/>
                    <w:lang w:val="en-US" w:eastAsia="de-DE"/>
                  </w:rPr>
                  <m:t>X</m:t>
                </m:r>
              </m:e>
              <m:sub>
                <m:r>
                  <w:rPr>
                    <w:rFonts w:ascii="Cambria Math" w:hAnsi="Cambria Math"/>
                    <w:lang w:val="en-US" w:eastAsia="de-DE"/>
                  </w:rPr>
                  <m:t>k</m:t>
                </m:r>
              </m:sub>
            </m:sSub>
          </m:e>
        </m:d>
        <m:r>
          <w:rPr>
            <w:rFonts w:ascii="Cambria Math" w:hAnsi="Cambria Math"/>
            <w:lang w:val="en-US" w:eastAsia="de-DE"/>
          </w:rPr>
          <m:t>≠1</m:t>
        </m:r>
      </m:oMath>
      <w:r w:rsidRPr="00084871">
        <w:rPr>
          <w:lang w:val="en-US" w:eastAsia="de-DE"/>
        </w:rPr>
        <w:t>. In fact, the sensitivity analysis evaluates</w:t>
      </w:r>
      <w:r w:rsidR="0098378D">
        <w:rPr>
          <w:lang w:val="en-US" w:eastAsia="de-DE"/>
        </w:rPr>
        <w:t xml:space="preserve"> how changing the values of γ aff</w:t>
      </w:r>
      <w:r w:rsidRPr="00084871">
        <w:rPr>
          <w:lang w:val="en-US" w:eastAsia="de-DE"/>
        </w:rPr>
        <w:t>ec</w:t>
      </w:r>
      <w:r w:rsidR="0098378D">
        <w:rPr>
          <w:lang w:val="en-US" w:eastAsia="de-DE"/>
        </w:rPr>
        <w:t>ts inference of the treatment eff</w:t>
      </w:r>
      <w:r w:rsidRPr="00084871">
        <w:rPr>
          <w:lang w:val="en-US" w:eastAsia="de-DE"/>
        </w:rPr>
        <w:t>ect</w:t>
      </w:r>
      <w:r w:rsidR="0098378D">
        <w:rPr>
          <w:lang w:val="en-US" w:eastAsia="de-DE"/>
        </w:rPr>
        <w:t xml:space="preserve"> </w:t>
      </w:r>
      <w:r w:rsidRPr="00084871">
        <w:rPr>
          <w:lang w:val="en-US" w:eastAsia="de-DE"/>
        </w:rPr>
        <w:t>while the RB are the bounds on the odds ratio that either of the two matched individuals will receive treatment (Rosenbaum, 2002).</w:t>
      </w:r>
    </w:p>
    <w:p w:rsidR="00084871" w:rsidRDefault="00084871" w:rsidP="00223B6D">
      <w:pPr>
        <w:spacing w:line="276" w:lineRule="auto"/>
        <w:rPr>
          <w:lang w:val="en-US" w:eastAsia="de-DE"/>
        </w:rPr>
      </w:pPr>
    </w:p>
    <w:p w:rsidR="00084871" w:rsidRDefault="00084871" w:rsidP="00223B6D">
      <w:pPr>
        <w:pStyle w:val="Nadpis1"/>
        <w:spacing w:line="276" w:lineRule="auto"/>
        <w:rPr>
          <w:lang w:val="en-US" w:eastAsia="de-DE"/>
        </w:rPr>
      </w:pPr>
      <w:r>
        <w:rPr>
          <w:lang w:val="en-US" w:eastAsia="de-DE"/>
        </w:rPr>
        <w:t>Estimation Results</w:t>
      </w:r>
    </w:p>
    <w:p w:rsidR="00313188" w:rsidRPr="00313188" w:rsidRDefault="007973A5" w:rsidP="00223B6D">
      <w:pPr>
        <w:spacing w:line="276" w:lineRule="auto"/>
        <w:rPr>
          <w:lang w:val="en-US" w:eastAsia="de-DE"/>
        </w:rPr>
      </w:pPr>
      <w:r>
        <w:rPr>
          <w:lang w:val="en-US" w:eastAsia="de-DE"/>
        </w:rPr>
        <w:t>First, to estimate the eff</w:t>
      </w:r>
      <w:r w:rsidR="00313188" w:rsidRPr="00313188">
        <w:rPr>
          <w:lang w:val="en-US" w:eastAsia="de-DE"/>
        </w:rPr>
        <w:t>ect of contactless payment</w:t>
      </w:r>
      <w:r>
        <w:rPr>
          <w:lang w:val="en-US" w:eastAsia="de-DE"/>
        </w:rPr>
        <w:t xml:space="preserve"> on the ratio of spending, I ob</w:t>
      </w:r>
      <w:r w:rsidR="00313188" w:rsidRPr="00313188">
        <w:rPr>
          <w:lang w:val="en-US" w:eastAsia="de-DE"/>
        </w:rPr>
        <w:t>tain</w:t>
      </w:r>
      <w:r w:rsidR="0083754C">
        <w:rPr>
          <w:lang w:val="en-US" w:eastAsia="de-DE"/>
        </w:rPr>
        <w:t>ed</w:t>
      </w:r>
      <w:r w:rsidR="00313188" w:rsidRPr="00313188">
        <w:rPr>
          <w:lang w:val="en-US" w:eastAsia="de-DE"/>
        </w:rPr>
        <w:t xml:space="preserve"> the propensity score of adopting contactless credit or debit cards separately for each individual, where contactless payment adopters represent the treatment and non-adopters the control group. Second, I compare</w:t>
      </w:r>
      <w:r w:rsidR="0083754C">
        <w:rPr>
          <w:lang w:val="en-US" w:eastAsia="de-DE"/>
        </w:rPr>
        <w:t>d</w:t>
      </w:r>
      <w:r w:rsidR="00313188" w:rsidRPr="00313188">
        <w:rPr>
          <w:lang w:val="en-US" w:eastAsia="de-DE"/>
        </w:rPr>
        <w:t xml:space="preserve"> the share of credit and debit card transactions to the total POS transacti</w:t>
      </w:r>
      <w:r>
        <w:rPr>
          <w:lang w:val="en-US" w:eastAsia="de-DE"/>
        </w:rPr>
        <w:t>ons of individuals in the treat</w:t>
      </w:r>
      <w:r w:rsidR="00313188" w:rsidRPr="00313188">
        <w:rPr>
          <w:lang w:val="en-US" w:eastAsia="de-DE"/>
        </w:rPr>
        <w:t>ment and control group with the same propensity scores and average it over the whole sample N and subsampl</w:t>
      </w:r>
      <w:r>
        <w:rPr>
          <w:lang w:val="en-US" w:eastAsia="de-DE"/>
        </w:rPr>
        <w:t>e N</w:t>
      </w:r>
      <w:r w:rsidRPr="007973A5">
        <w:rPr>
          <w:vertAlign w:val="subscript"/>
          <w:lang w:val="en-US" w:eastAsia="de-DE"/>
        </w:rPr>
        <w:t>1</w:t>
      </w:r>
      <w:r w:rsidR="00313188" w:rsidRPr="00313188">
        <w:rPr>
          <w:lang w:val="en-US" w:eastAsia="de-DE"/>
        </w:rPr>
        <w:t xml:space="preserve"> resulting in the ATE and ATT. The results of the ATT are of </w:t>
      </w:r>
      <w:r w:rsidR="00FB671A">
        <w:rPr>
          <w:lang w:val="en-US" w:eastAsia="de-DE"/>
        </w:rPr>
        <w:t>greater</w:t>
      </w:r>
      <w:r w:rsidR="00313188" w:rsidRPr="00313188">
        <w:rPr>
          <w:lang w:val="en-US" w:eastAsia="de-DE"/>
        </w:rPr>
        <w:t xml:space="preserve"> interest in this context. I thereby appl</w:t>
      </w:r>
      <w:r w:rsidR="009F784E">
        <w:rPr>
          <w:lang w:val="en-US" w:eastAsia="de-DE"/>
        </w:rPr>
        <w:t>ied</w:t>
      </w:r>
      <w:r w:rsidR="00313188" w:rsidRPr="00313188">
        <w:rPr>
          <w:lang w:val="en-US" w:eastAsia="de-DE"/>
        </w:rPr>
        <w:t xml:space="preserve"> the Stata module </w:t>
      </w:r>
      <w:r w:rsidR="00313188" w:rsidRPr="007973A5">
        <w:rPr>
          <w:i/>
          <w:lang w:val="en-US" w:eastAsia="de-DE"/>
        </w:rPr>
        <w:t>psmatch2</w:t>
      </w:r>
      <w:r w:rsidR="00313188" w:rsidRPr="00313188">
        <w:rPr>
          <w:lang w:val="en-US" w:eastAsia="de-DE"/>
        </w:rPr>
        <w:t xml:space="preserve"> to implement PSM, which is provided by Leuven and </w:t>
      </w:r>
      <w:proofErr w:type="spellStart"/>
      <w:r w:rsidR="00313188" w:rsidRPr="00313188">
        <w:rPr>
          <w:lang w:val="en-US" w:eastAsia="de-DE"/>
        </w:rPr>
        <w:t>Sianesi</w:t>
      </w:r>
      <w:proofErr w:type="spellEnd"/>
      <w:r w:rsidR="00313188" w:rsidRPr="00313188">
        <w:rPr>
          <w:lang w:val="en-US" w:eastAsia="de-DE"/>
        </w:rPr>
        <w:t xml:space="preserve"> (2003).</w:t>
      </w:r>
    </w:p>
    <w:p w:rsidR="00313188" w:rsidRPr="00313188" w:rsidRDefault="00313188"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Regarding the inclusion of optimal covariates in the propensity score</w:t>
      </w:r>
      <w:r w:rsidR="007973A5">
        <w:rPr>
          <w:lang w:val="en-US" w:eastAsia="de-DE"/>
        </w:rPr>
        <w:t xml:space="preserve"> model, only those that are unaff</w:t>
      </w:r>
      <w:r w:rsidRPr="00313188">
        <w:rPr>
          <w:lang w:val="en-US" w:eastAsia="de-DE"/>
        </w:rPr>
        <w:t>ected by participation should be considered, i.e. they should be time invariant or measure</w:t>
      </w:r>
      <w:r w:rsidR="007973A5">
        <w:rPr>
          <w:lang w:val="en-US" w:eastAsia="de-DE"/>
        </w:rPr>
        <w:t>d in advance of the treatment (</w:t>
      </w:r>
      <w:proofErr w:type="spellStart"/>
      <w:r w:rsidRPr="00313188">
        <w:rPr>
          <w:lang w:val="en-US" w:eastAsia="de-DE"/>
        </w:rPr>
        <w:t>Caliendo</w:t>
      </w:r>
      <w:proofErr w:type="spellEnd"/>
      <w:r w:rsidRPr="00313188">
        <w:rPr>
          <w:lang w:val="en-US" w:eastAsia="de-DE"/>
        </w:rPr>
        <w:t xml:space="preserve"> and </w:t>
      </w:r>
      <w:proofErr w:type="spellStart"/>
      <w:r w:rsidRPr="00313188">
        <w:rPr>
          <w:lang w:val="en-US" w:eastAsia="de-DE"/>
        </w:rPr>
        <w:t>Kopeinig</w:t>
      </w:r>
      <w:proofErr w:type="spellEnd"/>
      <w:r w:rsidRPr="00313188">
        <w:rPr>
          <w:lang w:val="en-US" w:eastAsia="de-DE"/>
        </w:rPr>
        <w:t xml:space="preserve">, 2005). According to theory (e.g. </w:t>
      </w:r>
      <w:proofErr w:type="spellStart"/>
      <w:r w:rsidRPr="00313188">
        <w:rPr>
          <w:lang w:val="en-US" w:eastAsia="de-DE"/>
        </w:rPr>
        <w:t>Venkatesh</w:t>
      </w:r>
      <w:proofErr w:type="spellEnd"/>
      <w:r w:rsidRPr="00313188">
        <w:rPr>
          <w:lang w:val="en-US" w:eastAsia="de-DE"/>
        </w:rPr>
        <w:t xml:space="preserve"> et al., 2003; Rogers, 2003) and previous re</w:t>
      </w:r>
      <w:r w:rsidR="007973A5">
        <w:rPr>
          <w:lang w:val="en-US" w:eastAsia="de-DE"/>
        </w:rPr>
        <w:t>search on contactless payment (</w:t>
      </w:r>
      <w:proofErr w:type="spellStart"/>
      <w:r w:rsidRPr="00313188">
        <w:rPr>
          <w:lang w:val="en-US" w:eastAsia="de-DE"/>
        </w:rPr>
        <w:t>Fujiki</w:t>
      </w:r>
      <w:proofErr w:type="spellEnd"/>
      <w:r w:rsidRPr="00313188">
        <w:rPr>
          <w:lang w:val="en-US" w:eastAsia="de-DE"/>
        </w:rPr>
        <w:t xml:space="preserve"> and Tanaka, 2009; Lee and Kwon, 2002; Wang, 2008), I estimate</w:t>
      </w:r>
      <w:r w:rsidR="004A65B1">
        <w:rPr>
          <w:lang w:val="en-US" w:eastAsia="de-DE"/>
        </w:rPr>
        <w:t>d</w:t>
      </w:r>
      <w:r w:rsidRPr="00313188">
        <w:rPr>
          <w:lang w:val="en-US" w:eastAsia="de-DE"/>
        </w:rPr>
        <w:t xml:space="preserve"> two Logit models separately for contactless credit and debit cards that control for demographics, </w:t>
      </w:r>
      <w:r w:rsidR="007973A5">
        <w:rPr>
          <w:lang w:val="en-US" w:eastAsia="de-DE"/>
        </w:rPr>
        <w:t>fi</w:t>
      </w:r>
      <w:r w:rsidRPr="00313188">
        <w:rPr>
          <w:lang w:val="en-US" w:eastAsia="de-DE"/>
        </w:rPr>
        <w:t>nancial status, perceptions on card attributes, personal innovativeness, the number of cash withdrawals and residential states.</w:t>
      </w:r>
      <w:r w:rsidR="007973A5">
        <w:rPr>
          <w:rStyle w:val="Znakapoznpodarou"/>
          <w:lang w:val="en-US" w:eastAsia="de-DE"/>
        </w:rPr>
        <w:footnoteReference w:id="18"/>
      </w:r>
      <w:r w:rsidRPr="00313188">
        <w:rPr>
          <w:lang w:val="en-US" w:eastAsia="de-DE"/>
        </w:rPr>
        <w:t xml:space="preserve"> The corresponding link tests indicate that the Logit models are properly speci</w:t>
      </w:r>
      <w:r w:rsidR="007973A5">
        <w:rPr>
          <w:lang w:val="en-US" w:eastAsia="de-DE"/>
        </w:rPr>
        <w:t>fi</w:t>
      </w:r>
      <w:r w:rsidRPr="00313188">
        <w:rPr>
          <w:lang w:val="en-US" w:eastAsia="de-DE"/>
        </w:rPr>
        <w:t>ed.</w:t>
      </w:r>
    </w:p>
    <w:p w:rsidR="00313188" w:rsidRPr="00313188" w:rsidRDefault="00313188" w:rsidP="00223B6D">
      <w:pPr>
        <w:spacing w:line="276" w:lineRule="auto"/>
        <w:rPr>
          <w:lang w:val="en-US" w:eastAsia="de-DE"/>
        </w:rPr>
      </w:pPr>
    </w:p>
    <w:p w:rsidR="00313188" w:rsidRDefault="007973A5" w:rsidP="00223B6D">
      <w:pPr>
        <w:spacing w:line="276" w:lineRule="auto"/>
        <w:rPr>
          <w:lang w:val="en-US" w:eastAsia="de-DE"/>
        </w:rPr>
      </w:pPr>
      <w:r>
        <w:rPr>
          <w:lang w:val="en-US" w:eastAsia="de-DE"/>
        </w:rPr>
        <w:t>The marginal eff</w:t>
      </w:r>
      <w:r w:rsidR="00313188" w:rsidRPr="00313188">
        <w:rPr>
          <w:lang w:val="en-US" w:eastAsia="de-DE"/>
        </w:rPr>
        <w:t>ects of the Logit estimations both for contactless credit and debit cards are displayed in Table 7. It is observable that the number of cash withdrawals, education, some income and age bra</w:t>
      </w:r>
      <w:r>
        <w:rPr>
          <w:lang w:val="en-US" w:eastAsia="de-DE"/>
        </w:rPr>
        <w:t>ckets</w:t>
      </w:r>
      <w:r w:rsidR="004A65B1">
        <w:rPr>
          <w:lang w:val="en-US" w:eastAsia="de-DE"/>
        </w:rPr>
        <w:t>,</w:t>
      </w:r>
      <w:r>
        <w:rPr>
          <w:lang w:val="en-US" w:eastAsia="de-DE"/>
        </w:rPr>
        <w:t xml:space="preserve"> as well as certain percep</w:t>
      </w:r>
      <w:r w:rsidR="00313188" w:rsidRPr="00313188">
        <w:rPr>
          <w:lang w:val="en-US" w:eastAsia="de-DE"/>
        </w:rPr>
        <w:t xml:space="preserve">tions and whether being single and having adopted mobile </w:t>
      </w:r>
      <w:r>
        <w:rPr>
          <w:lang w:val="en-US" w:eastAsia="de-DE"/>
        </w:rPr>
        <w:t>banking are statistically significant eff</w:t>
      </w:r>
      <w:r w:rsidR="00313188" w:rsidRPr="00313188">
        <w:rPr>
          <w:lang w:val="en-US" w:eastAsia="de-DE"/>
        </w:rPr>
        <w:t>ects in describing the adoption of contactless credit cards, holding all else constant. The probability of adopting contactless credit cards for individuals earning between 75000 and 99000 USD</w:t>
      </w:r>
      <w:r w:rsidR="004A65B1">
        <w:rPr>
          <w:lang w:val="en-US" w:eastAsia="de-DE"/>
        </w:rPr>
        <w:t xml:space="preserve"> is</w:t>
      </w:r>
      <w:r w:rsidR="00313188" w:rsidRPr="00313188">
        <w:rPr>
          <w:lang w:val="en-US" w:eastAsia="de-DE"/>
        </w:rPr>
        <w:t xml:space="preserve"> 7.2 percent higher than for those earn</w:t>
      </w:r>
      <w:r w:rsidR="00984ACA">
        <w:rPr>
          <w:lang w:val="en-US" w:eastAsia="de-DE"/>
        </w:rPr>
        <w:t>ing 100000-</w:t>
      </w:r>
      <w:r w:rsidR="00313188" w:rsidRPr="00313188">
        <w:rPr>
          <w:lang w:val="en-US" w:eastAsia="de-DE"/>
        </w:rPr>
        <w:t xml:space="preserve">125000 </w:t>
      </w:r>
      <w:r w:rsidR="00313188" w:rsidRPr="00313188">
        <w:rPr>
          <w:lang w:val="en-US" w:eastAsia="de-DE"/>
        </w:rPr>
        <w:lastRenderedPageBreak/>
        <w:t>USD and 11 per</w:t>
      </w:r>
      <w:r w:rsidR="00984ACA">
        <w:rPr>
          <w:lang w:val="en-US" w:eastAsia="de-DE"/>
        </w:rPr>
        <w:t>cent higher for people aging 25-</w:t>
      </w:r>
      <w:r w:rsidR="00313188" w:rsidRPr="00313188">
        <w:rPr>
          <w:lang w:val="en-US" w:eastAsia="de-DE"/>
        </w:rPr>
        <w:t xml:space="preserve">34 compared to </w:t>
      </w:r>
      <w:r w:rsidR="004A65B1">
        <w:rPr>
          <w:lang w:val="en-US" w:eastAsia="de-DE"/>
        </w:rPr>
        <w:t>people younger</w:t>
      </w:r>
      <w:r w:rsidR="004A65B1" w:rsidRPr="00313188">
        <w:rPr>
          <w:lang w:val="en-US" w:eastAsia="de-DE"/>
        </w:rPr>
        <w:t xml:space="preserve"> </w:t>
      </w:r>
      <w:r w:rsidR="008B53E5" w:rsidRPr="00313188">
        <w:rPr>
          <w:lang w:val="en-US" w:eastAsia="de-DE"/>
        </w:rPr>
        <w:t>than</w:t>
      </w:r>
      <w:r w:rsidR="00313188" w:rsidRPr="00313188">
        <w:rPr>
          <w:lang w:val="en-US" w:eastAsia="de-DE"/>
        </w:rPr>
        <w:t xml:space="preserve"> 25</w:t>
      </w:r>
      <w:r w:rsidR="008B53E5">
        <w:rPr>
          <w:lang w:val="en-US" w:eastAsia="de-DE"/>
        </w:rPr>
        <w:t xml:space="preserve"> years</w:t>
      </w:r>
      <w:r w:rsidR="00313188" w:rsidRPr="00313188">
        <w:rPr>
          <w:lang w:val="en-US" w:eastAsia="de-DE"/>
        </w:rPr>
        <w:t xml:space="preserve">. Singles and college graduates are less </w:t>
      </w:r>
      <w:r>
        <w:rPr>
          <w:lang w:val="en-US" w:eastAsia="de-DE"/>
        </w:rPr>
        <w:t>likely to adopt contactless pay</w:t>
      </w:r>
      <w:r w:rsidR="00313188" w:rsidRPr="00313188">
        <w:rPr>
          <w:lang w:val="en-US" w:eastAsia="de-DE"/>
        </w:rPr>
        <w:t xml:space="preserve">ment compared to widowed </w:t>
      </w:r>
      <w:r w:rsidR="00F95A9E">
        <w:rPr>
          <w:lang w:val="en-US" w:eastAsia="de-DE"/>
        </w:rPr>
        <w:t xml:space="preserve">   </w:t>
      </w:r>
      <w:r w:rsidR="00313188" w:rsidRPr="00313188">
        <w:rPr>
          <w:lang w:val="en-US" w:eastAsia="de-DE"/>
        </w:rPr>
        <w:t xml:space="preserve">(-9.3 percent) and </w:t>
      </w:r>
      <w:r w:rsidR="004A65B1">
        <w:rPr>
          <w:lang w:val="en-US" w:eastAsia="de-DE"/>
        </w:rPr>
        <w:t>also less likely</w:t>
      </w:r>
      <w:r w:rsidR="00313188" w:rsidRPr="00313188">
        <w:rPr>
          <w:lang w:val="en-US" w:eastAsia="de-DE"/>
        </w:rPr>
        <w:t xml:space="preserve"> than high school graduates (-16.4 percent), respectively. A one percent incr</w:t>
      </w:r>
      <w:r>
        <w:rPr>
          <w:lang w:val="en-US" w:eastAsia="de-DE"/>
        </w:rPr>
        <w:t>ease in the number of cash with</w:t>
      </w:r>
      <w:r w:rsidR="00313188" w:rsidRPr="00313188">
        <w:rPr>
          <w:lang w:val="en-US" w:eastAsia="de-DE"/>
        </w:rPr>
        <w:t xml:space="preserve">drawals lowers the probability of adopting contactless credit cards by 2.2 percent, whereas the adoption of mobile banking </w:t>
      </w:r>
      <w:r w:rsidR="008B53E5" w:rsidRPr="00313188">
        <w:rPr>
          <w:lang w:val="en-US" w:eastAsia="de-DE"/>
        </w:rPr>
        <w:t>raises</w:t>
      </w:r>
      <w:r w:rsidR="00313188" w:rsidRPr="00313188">
        <w:rPr>
          <w:lang w:val="en-US" w:eastAsia="de-DE"/>
        </w:rPr>
        <w:t xml:space="preserve"> the probability by 4.4 percent. This</w:t>
      </w:r>
      <w:r w:rsidR="00313188">
        <w:rPr>
          <w:lang w:val="en-US" w:eastAsia="de-DE"/>
        </w:rPr>
        <w:t xml:space="preserve"> </w:t>
      </w:r>
      <w:r w:rsidR="00313188" w:rsidRPr="00313188">
        <w:rPr>
          <w:lang w:val="en-US" w:eastAsia="de-DE"/>
        </w:rPr>
        <w:t>may give evidence that personal</w:t>
      </w:r>
      <w:r>
        <w:rPr>
          <w:lang w:val="en-US" w:eastAsia="de-DE"/>
        </w:rPr>
        <w:t xml:space="preserve"> innovativeness has a crucial effect on the adop</w:t>
      </w:r>
      <w:r w:rsidR="00313188" w:rsidRPr="00313188">
        <w:rPr>
          <w:lang w:val="en-US" w:eastAsia="de-DE"/>
        </w:rPr>
        <w:t>tion behavior of innovations. As convenience of credit cards in relation to all other payment methods increases, individuals are more likely to adopt contactless credit (21 percent). This is a strong indicator that contactless credit cards may meet this requirement.</w:t>
      </w:r>
    </w:p>
    <w:p w:rsidR="00647999" w:rsidRDefault="00647999" w:rsidP="00223B6D">
      <w:pPr>
        <w:spacing w:line="276" w:lineRule="auto"/>
        <w:rPr>
          <w:lang w:val="en-US" w:eastAsia="de-DE"/>
        </w:rPr>
      </w:pPr>
    </w:p>
    <w:p w:rsidR="00647999" w:rsidRDefault="00647999" w:rsidP="00223B6D">
      <w:pPr>
        <w:spacing w:line="276" w:lineRule="auto"/>
        <w:jc w:val="left"/>
        <w:rPr>
          <w:lang w:val="en-US" w:eastAsia="de-DE"/>
        </w:rPr>
      </w:pPr>
      <w:r>
        <w:rPr>
          <w:lang w:val="en-US" w:eastAsia="de-DE"/>
        </w:rPr>
        <w:br w:type="page"/>
      </w:r>
    </w:p>
    <w:p w:rsidR="00313188" w:rsidRPr="00647999" w:rsidRDefault="00647999" w:rsidP="00223B6D">
      <w:pPr>
        <w:pStyle w:val="Titulek"/>
        <w:spacing w:after="120" w:line="276" w:lineRule="auto"/>
        <w:rPr>
          <w:lang w:val="en-US" w:eastAsia="de-DE"/>
        </w:rPr>
      </w:pPr>
      <w:r w:rsidRPr="00647999">
        <w:rPr>
          <w:lang w:val="en-US"/>
        </w:rPr>
        <w:lastRenderedPageBreak/>
        <w:t xml:space="preserve">Table </w:t>
      </w:r>
      <w:r w:rsidR="006A23B6">
        <w:rPr>
          <w:lang w:val="en-US"/>
        </w:rPr>
        <w:fldChar w:fldCharType="begin"/>
      </w:r>
      <w:r w:rsidR="0076706F">
        <w:rPr>
          <w:lang w:val="en-US"/>
        </w:rPr>
        <w:instrText xml:space="preserve"> SEQ Table \* ARABIC </w:instrText>
      </w:r>
      <w:r w:rsidR="006A23B6">
        <w:rPr>
          <w:lang w:val="en-US"/>
        </w:rPr>
        <w:fldChar w:fldCharType="separate"/>
      </w:r>
      <w:r w:rsidR="00E45C4F">
        <w:rPr>
          <w:noProof/>
          <w:lang w:val="en-US"/>
        </w:rPr>
        <w:t>7</w:t>
      </w:r>
      <w:r w:rsidR="006A23B6">
        <w:rPr>
          <w:lang w:val="en-US"/>
        </w:rPr>
        <w:fldChar w:fldCharType="end"/>
      </w:r>
      <w:r w:rsidRPr="00647999">
        <w:rPr>
          <w:lang w:val="en-US"/>
        </w:rPr>
        <w:t>: Lo</w:t>
      </w:r>
      <w:r>
        <w:rPr>
          <w:lang w:val="en-US"/>
        </w:rPr>
        <w:t>git Propensity Score Marginal Eff</w:t>
      </w:r>
      <w:r w:rsidRPr="00647999">
        <w:rPr>
          <w:lang w:val="en-US"/>
        </w:rPr>
        <w:t>ects</w:t>
      </w:r>
    </w:p>
    <w:tbl>
      <w:tblPr>
        <w:tblW w:w="6460" w:type="dxa"/>
        <w:jc w:val="center"/>
        <w:tblCellMar>
          <w:left w:w="70" w:type="dxa"/>
          <w:right w:w="70" w:type="dxa"/>
        </w:tblCellMar>
        <w:tblLook w:val="04A0"/>
      </w:tblPr>
      <w:tblGrid>
        <w:gridCol w:w="1660"/>
        <w:gridCol w:w="1200"/>
        <w:gridCol w:w="1200"/>
        <w:gridCol w:w="1200"/>
        <w:gridCol w:w="1200"/>
      </w:tblGrid>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C36D5D" w:rsidRDefault="00B07A20" w:rsidP="00223B6D">
            <w:pPr>
              <w:spacing w:line="276" w:lineRule="auto"/>
              <w:jc w:val="left"/>
              <w:rPr>
                <w:rFonts w:eastAsia="Times New Roman" w:cs="Times New Roman"/>
                <w:color w:val="000000"/>
                <w:sz w:val="20"/>
                <w:lang w:val="fr-CH" w:eastAsia="de-CH"/>
              </w:rPr>
            </w:pPr>
            <w:r w:rsidRPr="00B07A20">
              <w:rPr>
                <w:rFonts w:eastAsia="Times New Roman" w:cs="Times New Roman"/>
                <w:color w:val="000000"/>
                <w:sz w:val="20"/>
                <w:lang w:val="en-US" w:eastAsia="de-CH"/>
              </w:rPr>
              <w:t> </w:t>
            </w:r>
          </w:p>
        </w:tc>
        <w:tc>
          <w:tcPr>
            <w:tcW w:w="2400" w:type="dxa"/>
            <w:gridSpan w:val="2"/>
            <w:tcBorders>
              <w:top w:val="nil"/>
              <w:left w:val="nil"/>
              <w:bottom w:val="nil"/>
              <w:right w:val="single" w:sz="8" w:space="0" w:color="000000"/>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Contactless Credit</w:t>
            </w:r>
          </w:p>
        </w:tc>
        <w:tc>
          <w:tcPr>
            <w:tcW w:w="2400" w:type="dxa"/>
            <w:gridSpan w:val="2"/>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Contactless Debit</w:t>
            </w:r>
          </w:p>
        </w:tc>
      </w:tr>
      <w:tr w:rsidR="00B07A20" w:rsidRPr="00B07A20" w:rsidTr="00B07A20">
        <w:trPr>
          <w:trHeight w:val="315"/>
          <w:jc w:val="center"/>
        </w:trPr>
        <w:tc>
          <w:tcPr>
            <w:tcW w:w="1660" w:type="dxa"/>
            <w:tcBorders>
              <w:top w:val="single" w:sz="8" w:space="0" w:color="auto"/>
              <w:left w:val="nil"/>
              <w:bottom w:val="single" w:sz="8" w:space="0" w:color="auto"/>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roofErr w:type="spellStart"/>
            <w:r w:rsidRPr="00B07A20">
              <w:rPr>
                <w:rFonts w:eastAsia="Times New Roman" w:cs="Times New Roman"/>
                <w:color w:val="000000"/>
                <w:sz w:val="20"/>
                <w:lang w:val="en-US" w:eastAsia="de-CH"/>
              </w:rPr>
              <w:t>Mfx</w:t>
            </w:r>
            <w:proofErr w:type="spellEnd"/>
          </w:p>
        </w:tc>
        <w:tc>
          <w:tcPr>
            <w:tcW w:w="1200" w:type="dxa"/>
            <w:tcBorders>
              <w:top w:val="single" w:sz="8" w:space="0" w:color="auto"/>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Std. Err.</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roofErr w:type="spellStart"/>
            <w:r w:rsidRPr="00B07A20">
              <w:rPr>
                <w:rFonts w:eastAsia="Times New Roman" w:cs="Times New Roman"/>
                <w:color w:val="000000"/>
                <w:sz w:val="20"/>
                <w:lang w:val="en-US" w:eastAsia="de-CH"/>
              </w:rPr>
              <w:t>Mfx</w:t>
            </w:r>
            <w:proofErr w:type="spellEnd"/>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Std. Err.</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Income (in 1000)</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single" w:sz="8" w:space="0" w:color="auto"/>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&lt;25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0.075*</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0.094*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-0.052</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25-49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-0.038</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-0.049</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50-74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0.043</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-0.047</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75-99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&gt;125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0.058</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-0.051</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Education</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High School</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−0.167***</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−0.133**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-0.052</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Some College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−0.151***</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−0.173***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-0.054</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College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−0.164***</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−0.232***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Post Graduate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−0.110*</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−0.252***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-0.061</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Age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25-34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0.110*</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0.165***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-0.058</w:t>
            </w:r>
          </w:p>
        </w:tc>
      </w:tr>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35-44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0.071</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0.166***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45-54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0.035</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0.136**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-0.061</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55-64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0.014</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0.095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-0.065</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&gt;65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−0.059</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-0.075</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Employment</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Working</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−0.016</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-0.039</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Retired</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0.036</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-0.044</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Others</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−0.033</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-0.038</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Marital Status</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Married</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−0.008</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-0.052</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Separated</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−0.030</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0.038</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-0.061</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Single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−0.093*</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-0.051</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-0.062</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Perception</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noWrap/>
            <w:vAlign w:val="bottom"/>
            <w:hideMark/>
          </w:tcPr>
          <w:p w:rsidR="00B07A20" w:rsidRPr="00B07A20" w:rsidRDefault="00B07A20" w:rsidP="00223B6D">
            <w:pPr>
              <w:spacing w:line="276" w:lineRule="auto"/>
              <w:jc w:val="center"/>
              <w:rPr>
                <w:rFonts w:ascii="Calibri" w:eastAsia="Times New Roman" w:hAnsi="Calibri"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Security</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−0.021</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-0.076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−0.122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-0.096</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Setup</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0.008</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-0.143</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0.182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-0.197</w:t>
            </w:r>
          </w:p>
        </w:tc>
      </w:tr>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Acceptance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−0.118</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-0.234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0.426*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-0.23</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Cost</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0.031</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-0.118</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0.307**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-0.156</w:t>
            </w:r>
          </w:p>
        </w:tc>
      </w:tr>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Records</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-0.134</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−0.192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-0.156</w:t>
            </w:r>
          </w:p>
        </w:tc>
      </w:tr>
      <w:tr w:rsidR="00B07A20" w:rsidRPr="00B07A20" w:rsidTr="00B07A20">
        <w:trPr>
          <w:trHeight w:val="315"/>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Convenience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0.210*</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-0.125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-0.139</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b/>
                <w:bCs/>
                <w:color w:val="000000"/>
                <w:sz w:val="20"/>
                <w:lang w:eastAsia="de-CH"/>
              </w:rPr>
            </w:pPr>
            <w:r w:rsidRPr="00B07A20">
              <w:rPr>
                <w:rFonts w:eastAsia="Times New Roman" w:cs="Times New Roman"/>
                <w:b/>
                <w:bCs/>
                <w:color w:val="000000"/>
                <w:sz w:val="20"/>
                <w:lang w:val="en-US" w:eastAsia="de-CH"/>
              </w:rPr>
              <w:t>Others</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Male</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0.013</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-0.023</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log(Assets)</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-0.006</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CC Revolver</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−0.046**</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-0.022</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HH Members</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−0.007</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-0.008</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0.009</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-0.008</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Mobile Banking</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0.044*</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0.107***</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-0.028</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log(Cash WD)</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−0.022**</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0.045***</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-0.011</w:t>
            </w:r>
          </w:p>
        </w:tc>
      </w:tr>
      <w:tr w:rsidR="00B07A20" w:rsidRPr="00B07A20" w:rsidTr="00B07A20">
        <w:trPr>
          <w:trHeight w:val="300"/>
          <w:jc w:val="center"/>
        </w:trPr>
        <w:tc>
          <w:tcPr>
            <w:tcW w:w="1660" w:type="dxa"/>
            <w:tcBorders>
              <w:top w:val="single" w:sz="8" w:space="0" w:color="auto"/>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Observations</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1565</w:t>
            </w:r>
          </w:p>
        </w:tc>
        <w:tc>
          <w:tcPr>
            <w:tcW w:w="1200" w:type="dxa"/>
            <w:tcBorders>
              <w:top w:val="single" w:sz="8" w:space="0" w:color="auto"/>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1466</w:t>
            </w:r>
          </w:p>
        </w:tc>
        <w:tc>
          <w:tcPr>
            <w:tcW w:w="1200" w:type="dxa"/>
            <w:tcBorders>
              <w:top w:val="single" w:sz="8" w:space="0" w:color="auto"/>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Pseudo-R2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0.219</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0.302</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r w:rsidR="00B07A20" w:rsidRPr="00B07A20" w:rsidTr="00B07A20">
        <w:trPr>
          <w:trHeight w:val="300"/>
          <w:jc w:val="center"/>
        </w:trPr>
        <w:tc>
          <w:tcPr>
            <w:tcW w:w="166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left"/>
              <w:rPr>
                <w:rFonts w:eastAsia="Times New Roman" w:cs="Times New Roman"/>
                <w:color w:val="000000"/>
                <w:sz w:val="20"/>
                <w:lang w:eastAsia="de-CH"/>
              </w:rPr>
            </w:pPr>
            <w:r w:rsidRPr="00B07A20">
              <w:rPr>
                <w:rFonts w:eastAsia="Times New Roman" w:cs="Times New Roman"/>
                <w:color w:val="000000"/>
                <w:sz w:val="20"/>
                <w:lang w:val="en-US" w:eastAsia="de-CH"/>
              </w:rPr>
              <w:t>log(likelihood)</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-18377</w:t>
            </w:r>
          </w:p>
        </w:tc>
        <w:tc>
          <w:tcPr>
            <w:tcW w:w="1200" w:type="dxa"/>
            <w:tcBorders>
              <w:top w:val="nil"/>
              <w:left w:val="nil"/>
              <w:bottom w:val="nil"/>
              <w:right w:val="single" w:sz="8" w:space="0" w:color="auto"/>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 </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r w:rsidRPr="00B07A20">
              <w:rPr>
                <w:rFonts w:eastAsia="Times New Roman" w:cs="Times New Roman"/>
                <w:color w:val="000000"/>
                <w:sz w:val="20"/>
                <w:lang w:val="en-US" w:eastAsia="de-CH"/>
              </w:rPr>
              <w:t>-18470</w:t>
            </w:r>
          </w:p>
        </w:tc>
        <w:tc>
          <w:tcPr>
            <w:tcW w:w="1200" w:type="dxa"/>
            <w:tcBorders>
              <w:top w:val="nil"/>
              <w:left w:val="nil"/>
              <w:bottom w:val="nil"/>
              <w:right w:val="nil"/>
            </w:tcBorders>
            <w:shd w:val="clear" w:color="auto" w:fill="auto"/>
            <w:vAlign w:val="center"/>
            <w:hideMark/>
          </w:tcPr>
          <w:p w:rsidR="00B07A20" w:rsidRPr="00B07A20" w:rsidRDefault="00B07A20" w:rsidP="00223B6D">
            <w:pPr>
              <w:spacing w:line="276" w:lineRule="auto"/>
              <w:jc w:val="center"/>
              <w:rPr>
                <w:rFonts w:eastAsia="Times New Roman" w:cs="Times New Roman"/>
                <w:color w:val="000000"/>
                <w:sz w:val="20"/>
                <w:lang w:eastAsia="de-CH"/>
              </w:rPr>
            </w:pPr>
          </w:p>
        </w:tc>
      </w:tr>
    </w:tbl>
    <w:p w:rsidR="00313188" w:rsidRDefault="00496F58" w:rsidP="00223B6D">
      <w:pPr>
        <w:pStyle w:val="Nzev"/>
        <w:spacing w:line="276" w:lineRule="auto"/>
        <w:rPr>
          <w:lang w:val="en-US" w:eastAsia="de-DE"/>
        </w:rPr>
      </w:pPr>
      <w:r>
        <w:rPr>
          <w:lang w:val="en-US" w:eastAsia="de-DE"/>
        </w:rPr>
        <w:t>Note: Average marginal eff</w:t>
      </w:r>
      <w:r w:rsidR="008B2AC0" w:rsidRPr="008B2AC0">
        <w:rPr>
          <w:lang w:val="en-US" w:eastAsia="de-DE"/>
        </w:rPr>
        <w:t>e</w:t>
      </w:r>
      <w:r w:rsidR="007F67CA">
        <w:rPr>
          <w:lang w:val="en-US" w:eastAsia="de-DE"/>
        </w:rPr>
        <w:t xml:space="preserve">cts. </w:t>
      </w:r>
      <w:proofErr w:type="gramStart"/>
      <w:r w:rsidR="007F67CA">
        <w:rPr>
          <w:lang w:val="en-US" w:eastAsia="de-DE"/>
        </w:rPr>
        <w:t>Survey weights used.</w:t>
      </w:r>
      <w:proofErr w:type="gramEnd"/>
      <w:r w:rsidR="007F67CA">
        <w:rPr>
          <w:lang w:val="en-US" w:eastAsia="de-DE"/>
        </w:rPr>
        <w:t xml:space="preserve"> </w:t>
      </w:r>
      <w:proofErr w:type="gramStart"/>
      <w:r w:rsidR="007F67CA">
        <w:rPr>
          <w:lang w:val="en-US" w:eastAsia="de-DE"/>
        </w:rPr>
        <w:t>Signifi</w:t>
      </w:r>
      <w:r w:rsidR="008B2AC0" w:rsidRPr="008B2AC0">
        <w:rPr>
          <w:lang w:val="en-US" w:eastAsia="de-DE"/>
        </w:rPr>
        <w:t>cance levels 1% ***, 5% **, and 10% *.</w:t>
      </w:r>
      <w:proofErr w:type="gramEnd"/>
      <w:r w:rsidR="008B2AC0" w:rsidRPr="008B2AC0">
        <w:rPr>
          <w:lang w:val="en-US" w:eastAsia="de-DE"/>
        </w:rPr>
        <w:t xml:space="preserve"> Base category f</w:t>
      </w:r>
      <w:r w:rsidR="00984ACA">
        <w:rPr>
          <w:lang w:val="en-US" w:eastAsia="de-DE"/>
        </w:rPr>
        <w:t>or income is between 100000-</w:t>
      </w:r>
      <w:r w:rsidR="008B2AC0" w:rsidRPr="008B2AC0">
        <w:rPr>
          <w:lang w:val="en-US" w:eastAsia="de-DE"/>
        </w:rPr>
        <w:t xml:space="preserve">125000 USD, for education is lower than high school, for age under 25, </w:t>
      </w:r>
      <w:r w:rsidR="008B2AC0" w:rsidRPr="008B2AC0">
        <w:rPr>
          <w:lang w:val="en-US" w:eastAsia="de-DE"/>
        </w:rPr>
        <w:lastRenderedPageBreak/>
        <w:t>for employment unemployed and for marital s</w:t>
      </w:r>
      <w:r w:rsidR="007F67CA">
        <w:rPr>
          <w:lang w:val="en-US" w:eastAsia="de-DE"/>
        </w:rPr>
        <w:t>tatus widowed. For brevity, coeffi</w:t>
      </w:r>
      <w:r w:rsidR="008B2AC0" w:rsidRPr="008B2AC0">
        <w:rPr>
          <w:lang w:val="en-US" w:eastAsia="de-DE"/>
        </w:rPr>
        <w:t>cients of residential state dummies are not displayed</w:t>
      </w:r>
    </w:p>
    <w:p w:rsidR="00647999" w:rsidRPr="00313188" w:rsidRDefault="00647999"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 xml:space="preserve">I </w:t>
      </w:r>
      <w:r w:rsidR="007973A5">
        <w:rPr>
          <w:lang w:val="en-US" w:eastAsia="de-DE"/>
        </w:rPr>
        <w:t>fi</w:t>
      </w:r>
      <w:r w:rsidRPr="00313188">
        <w:rPr>
          <w:lang w:val="en-US" w:eastAsia="de-DE"/>
        </w:rPr>
        <w:t>nd evidence that education, younger cohorts, low income individuals, certain perceived attributes, the number of cash withdrawals and whether to revolve on credit cards</w:t>
      </w:r>
      <w:r w:rsidR="00A60A59">
        <w:rPr>
          <w:lang w:val="en-US" w:eastAsia="de-DE"/>
        </w:rPr>
        <w:t xml:space="preserve"> or not</w:t>
      </w:r>
      <w:r w:rsidRPr="00313188">
        <w:rPr>
          <w:lang w:val="en-US" w:eastAsia="de-DE"/>
        </w:rPr>
        <w:t xml:space="preserve"> are, ceter</w:t>
      </w:r>
      <w:r w:rsidR="007973A5">
        <w:rPr>
          <w:lang w:val="en-US" w:eastAsia="de-DE"/>
        </w:rPr>
        <w:t>is paribus, statistically signifi</w:t>
      </w:r>
      <w:r w:rsidRPr="00313188">
        <w:rPr>
          <w:lang w:val="en-US" w:eastAsia="de-DE"/>
        </w:rPr>
        <w:t xml:space="preserve">cant factors that predict the adoption of contactless debit cards. For instance, people that attended college are 23 percent less likely to adopt contactless debit cards compared to </w:t>
      </w:r>
      <w:r w:rsidRPr="00470464">
        <w:rPr>
          <w:lang w:val="en-US" w:eastAsia="de-DE"/>
        </w:rPr>
        <w:t xml:space="preserve">lower than </w:t>
      </w:r>
      <w:r w:rsidRPr="00313188">
        <w:rPr>
          <w:lang w:val="en-US" w:eastAsia="de-DE"/>
        </w:rPr>
        <w:t>high school attendants. As costs of debit cards decrease and acceptance increase, the probability to adopt contactless debit rises by around 30 and</w:t>
      </w:r>
      <w:r w:rsidR="007973A5">
        <w:rPr>
          <w:lang w:val="en-US" w:eastAsia="de-DE"/>
        </w:rPr>
        <w:t xml:space="preserve"> 42 percent, respec</w:t>
      </w:r>
      <w:r w:rsidRPr="00313188">
        <w:rPr>
          <w:lang w:val="en-US" w:eastAsia="de-DE"/>
        </w:rPr>
        <w:t xml:space="preserve">tively, implying the importance of supply-side factors. Credit card revolvers are 4.6 percent less likely to adopt contactless debit, which may suggest that these heavily rely on the provisioning of credit, which debit cards cannot provide. Also, a one percentage increase in cash withdrawals </w:t>
      </w:r>
      <w:r w:rsidR="00A60A59">
        <w:rPr>
          <w:lang w:val="en-US" w:eastAsia="de-DE"/>
        </w:rPr>
        <w:t>raises</w:t>
      </w:r>
      <w:r w:rsidR="00A60A59" w:rsidRPr="00313188">
        <w:rPr>
          <w:lang w:val="en-US" w:eastAsia="de-DE"/>
        </w:rPr>
        <w:t xml:space="preserve"> </w:t>
      </w:r>
      <w:r w:rsidRPr="00313188">
        <w:rPr>
          <w:lang w:val="en-US" w:eastAsia="de-DE"/>
        </w:rPr>
        <w:t>the probability to adopt contactless debit by 4.5 percent indicating some complementarity between cash and debit cards. As opposed to theo</w:t>
      </w:r>
      <w:r w:rsidR="007973A5">
        <w:rPr>
          <w:lang w:val="en-US" w:eastAsia="de-DE"/>
        </w:rPr>
        <w:t>ry, gender does not have any infl</w:t>
      </w:r>
      <w:r w:rsidRPr="00313188">
        <w:rPr>
          <w:lang w:val="en-US" w:eastAsia="de-DE"/>
        </w:rPr>
        <w:t>uence on the adoption patterns of contactless payment.</w:t>
      </w:r>
    </w:p>
    <w:p w:rsidR="00313188" w:rsidRPr="00313188" w:rsidRDefault="00313188"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The relationship between the spending ratio an</w:t>
      </w:r>
      <w:r w:rsidR="007973A5">
        <w:rPr>
          <w:lang w:val="en-US" w:eastAsia="de-DE"/>
        </w:rPr>
        <w:t>d the propensity score for inno</w:t>
      </w:r>
      <w:r w:rsidRPr="00313188">
        <w:rPr>
          <w:lang w:val="en-US" w:eastAsia="de-DE"/>
        </w:rPr>
        <w:t xml:space="preserve">vators and non-innovators both for credit and debit cards is depicted in Figure </w:t>
      </w:r>
      <w:r w:rsidR="004D6BEB">
        <w:rPr>
          <w:lang w:val="en-US" w:eastAsia="de-DE"/>
        </w:rPr>
        <w:t>3 and 4</w:t>
      </w:r>
      <w:r w:rsidRPr="00313188">
        <w:rPr>
          <w:lang w:val="en-US" w:eastAsia="de-DE"/>
        </w:rPr>
        <w:t>. It can be inferred that as the propensity score increases, adopters have a higher ratio of transactions. This relationship is slightly stronger for contactless credit adopters than non-adopters (0.7 vs. 0.67) while for contactless debit adopters, the correlation is less pronounced (0.13 vs. 0.79).</w:t>
      </w:r>
    </w:p>
    <w:p w:rsidR="00313188" w:rsidRPr="00313188" w:rsidRDefault="00313188" w:rsidP="00223B6D">
      <w:pPr>
        <w:spacing w:line="276" w:lineRule="auto"/>
        <w:rPr>
          <w:lang w:val="en-US" w:eastAsia="de-DE"/>
        </w:rPr>
      </w:pPr>
    </w:p>
    <w:p w:rsidR="004D6BEB" w:rsidRPr="00C979AA" w:rsidRDefault="004D6BEB" w:rsidP="00223B6D">
      <w:pPr>
        <w:pStyle w:val="Titulek"/>
        <w:keepNext/>
        <w:spacing w:line="276" w:lineRule="auto"/>
        <w:rPr>
          <w:lang w:val="en-US"/>
        </w:rPr>
      </w:pPr>
      <w:r w:rsidRPr="00C979AA">
        <w:rPr>
          <w:lang w:val="en-US"/>
        </w:rPr>
        <w:t xml:space="preserve">Figure </w:t>
      </w:r>
      <w:r w:rsidR="006A23B6">
        <w:fldChar w:fldCharType="begin"/>
      </w:r>
      <w:r w:rsidRPr="00C979AA">
        <w:rPr>
          <w:lang w:val="en-US"/>
        </w:rPr>
        <w:instrText xml:space="preserve"> SEQ Figure \* ARABIC </w:instrText>
      </w:r>
      <w:r w:rsidR="006A23B6">
        <w:fldChar w:fldCharType="separate"/>
      </w:r>
      <w:r w:rsidR="00E45C4F">
        <w:rPr>
          <w:noProof/>
          <w:lang w:val="en-US"/>
        </w:rPr>
        <w:t>3</w:t>
      </w:r>
      <w:r w:rsidR="006A23B6">
        <w:fldChar w:fldCharType="end"/>
      </w:r>
      <w:r w:rsidR="00C979AA" w:rsidRPr="00C979AA">
        <w:rPr>
          <w:lang w:val="en-US"/>
        </w:rPr>
        <w:t>: Spending vs. Propensity Score of Contactless Credit Cards</w:t>
      </w:r>
    </w:p>
    <w:p w:rsidR="00313188" w:rsidRPr="00313188" w:rsidRDefault="004D6BEB" w:rsidP="00223B6D">
      <w:pPr>
        <w:spacing w:line="276" w:lineRule="auto"/>
        <w:jc w:val="center"/>
        <w:rPr>
          <w:lang w:val="en-US" w:eastAsia="de-DE"/>
        </w:rPr>
      </w:pPr>
      <w:r>
        <w:rPr>
          <w:noProof/>
          <w:lang w:val="cs-CZ" w:eastAsia="cs-CZ"/>
        </w:rPr>
        <w:drawing>
          <wp:inline distT="0" distB="0" distL="0" distR="0">
            <wp:extent cx="2476800" cy="180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POS_scatterI.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800" cy="1800000"/>
                    </a:xfrm>
                    <a:prstGeom prst="rect">
                      <a:avLst/>
                    </a:prstGeom>
                  </pic:spPr>
                </pic:pic>
              </a:graphicData>
            </a:graphic>
          </wp:inline>
        </w:drawing>
      </w:r>
    </w:p>
    <w:p w:rsidR="00313188" w:rsidRDefault="00C979AA" w:rsidP="00223B6D">
      <w:pPr>
        <w:pStyle w:val="Nzev"/>
        <w:spacing w:line="276" w:lineRule="auto"/>
        <w:jc w:val="center"/>
        <w:rPr>
          <w:lang w:val="en-US" w:eastAsia="de-DE"/>
        </w:rPr>
      </w:pPr>
      <w:r w:rsidRPr="00C979AA">
        <w:rPr>
          <w:lang w:val="en-US" w:eastAsia="de-DE"/>
        </w:rPr>
        <w:t>Note: Logit propensity score, share of credit card payments at the POS</w:t>
      </w:r>
    </w:p>
    <w:p w:rsidR="00C979AA" w:rsidRPr="00C979AA" w:rsidRDefault="00C979AA" w:rsidP="00223B6D">
      <w:pPr>
        <w:spacing w:line="276" w:lineRule="auto"/>
        <w:jc w:val="center"/>
        <w:rPr>
          <w:lang w:val="en-US" w:eastAsia="de-DE"/>
        </w:rPr>
      </w:pPr>
    </w:p>
    <w:p w:rsidR="00C979AA" w:rsidRPr="00C979AA" w:rsidRDefault="00C979AA" w:rsidP="00223B6D">
      <w:pPr>
        <w:pStyle w:val="Titulek"/>
        <w:keepNext/>
        <w:spacing w:line="276" w:lineRule="auto"/>
        <w:rPr>
          <w:lang w:val="en-US"/>
        </w:rPr>
      </w:pPr>
      <w:r w:rsidRPr="00C979AA">
        <w:rPr>
          <w:lang w:val="en-US"/>
        </w:rPr>
        <w:t xml:space="preserve">Figure </w:t>
      </w:r>
      <w:r w:rsidR="006A23B6">
        <w:fldChar w:fldCharType="begin"/>
      </w:r>
      <w:r w:rsidRPr="00C979AA">
        <w:rPr>
          <w:lang w:val="en-US"/>
        </w:rPr>
        <w:instrText xml:space="preserve"> SEQ Figure \* ARABIC </w:instrText>
      </w:r>
      <w:r w:rsidR="006A23B6">
        <w:fldChar w:fldCharType="separate"/>
      </w:r>
      <w:r w:rsidR="00E45C4F">
        <w:rPr>
          <w:noProof/>
          <w:lang w:val="en-US"/>
        </w:rPr>
        <w:t>4</w:t>
      </w:r>
      <w:r w:rsidR="006A23B6">
        <w:fldChar w:fldCharType="end"/>
      </w:r>
      <w:r w:rsidRPr="00C979AA">
        <w:rPr>
          <w:lang w:val="en-US"/>
        </w:rPr>
        <w:t xml:space="preserve">: Spending vs. Propensity Score of Contactless </w:t>
      </w:r>
      <w:r>
        <w:rPr>
          <w:lang w:val="en-US"/>
        </w:rPr>
        <w:t>Debit</w:t>
      </w:r>
      <w:r w:rsidRPr="00C979AA">
        <w:rPr>
          <w:lang w:val="en-US"/>
        </w:rPr>
        <w:t xml:space="preserve"> Cards</w:t>
      </w:r>
    </w:p>
    <w:p w:rsidR="004D6BEB" w:rsidRDefault="004D6BEB" w:rsidP="00223B6D">
      <w:pPr>
        <w:spacing w:line="276" w:lineRule="auto"/>
        <w:jc w:val="center"/>
        <w:rPr>
          <w:lang w:val="en-US" w:eastAsia="de-DE"/>
        </w:rPr>
      </w:pPr>
      <w:r>
        <w:rPr>
          <w:noProof/>
          <w:lang w:val="cs-CZ" w:eastAsia="cs-CZ"/>
        </w:rPr>
        <w:drawing>
          <wp:inline distT="0" distB="0" distL="0" distR="0">
            <wp:extent cx="2473200" cy="1800000"/>
            <wp:effectExtent l="0" t="0" r="3810" b="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POS_scatterI.png"/>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3200" cy="1800000"/>
                    </a:xfrm>
                    <a:prstGeom prst="rect">
                      <a:avLst/>
                    </a:prstGeom>
                  </pic:spPr>
                </pic:pic>
              </a:graphicData>
            </a:graphic>
          </wp:inline>
        </w:drawing>
      </w:r>
    </w:p>
    <w:p w:rsidR="005754F8" w:rsidRDefault="005754F8" w:rsidP="00223B6D">
      <w:pPr>
        <w:pStyle w:val="Nzev"/>
        <w:spacing w:line="276" w:lineRule="auto"/>
        <w:jc w:val="center"/>
        <w:rPr>
          <w:lang w:val="en-US" w:eastAsia="de-DE"/>
        </w:rPr>
      </w:pPr>
      <w:r w:rsidRPr="00C979AA">
        <w:rPr>
          <w:lang w:val="en-US" w:eastAsia="de-DE"/>
        </w:rPr>
        <w:lastRenderedPageBreak/>
        <w:t xml:space="preserve">Note: Logit propensity score, share of </w:t>
      </w:r>
      <w:r>
        <w:rPr>
          <w:lang w:val="en-US" w:eastAsia="de-DE"/>
        </w:rPr>
        <w:t>debit</w:t>
      </w:r>
      <w:r w:rsidRPr="00C979AA">
        <w:rPr>
          <w:lang w:val="en-US" w:eastAsia="de-DE"/>
        </w:rPr>
        <w:t xml:space="preserve"> card payments at the POS</w:t>
      </w:r>
    </w:p>
    <w:p w:rsidR="005754F8" w:rsidRPr="00C979AA" w:rsidRDefault="005754F8" w:rsidP="00223B6D">
      <w:pPr>
        <w:spacing w:line="276" w:lineRule="auto"/>
        <w:rPr>
          <w:lang w:val="en-US" w:eastAsia="de-DE"/>
        </w:rPr>
      </w:pPr>
    </w:p>
    <w:p w:rsidR="004D6BEB" w:rsidRPr="00313188" w:rsidRDefault="004D6BEB" w:rsidP="00223B6D">
      <w:pPr>
        <w:spacing w:line="276" w:lineRule="auto"/>
        <w:rPr>
          <w:lang w:val="en-US" w:eastAsia="de-DE"/>
        </w:rPr>
      </w:pPr>
    </w:p>
    <w:p w:rsidR="00313188" w:rsidRPr="00313188" w:rsidRDefault="00313188" w:rsidP="00223B6D">
      <w:pPr>
        <w:spacing w:line="276" w:lineRule="auto"/>
        <w:rPr>
          <w:lang w:val="en-US" w:eastAsia="de-DE"/>
        </w:rPr>
      </w:pPr>
      <w:proofErr w:type="gramStart"/>
      <w:r w:rsidRPr="008E73FC">
        <w:rPr>
          <w:b/>
          <w:lang w:val="en-US" w:eastAsia="de-DE"/>
        </w:rPr>
        <w:t>Common Support.</w:t>
      </w:r>
      <w:proofErr w:type="gramEnd"/>
      <w:r w:rsidR="004D6BEB">
        <w:rPr>
          <w:lang w:val="en-US" w:eastAsia="de-DE"/>
        </w:rPr>
        <w:t xml:space="preserve"> Figure 5 and 6</w:t>
      </w:r>
      <w:r w:rsidRPr="00313188">
        <w:rPr>
          <w:lang w:val="en-US" w:eastAsia="de-DE"/>
        </w:rPr>
        <w:t xml:space="preserve"> exhibit the distribution of the propensity scores of contactless payment adopters and non-adopters both for credit and debit cards. They visually show that the c</w:t>
      </w:r>
      <w:r w:rsidR="008E73FC">
        <w:rPr>
          <w:lang w:val="en-US" w:eastAsia="de-DE"/>
        </w:rPr>
        <w:t>ommon support assumption is fulfi</w:t>
      </w:r>
      <w:r w:rsidRPr="00313188">
        <w:rPr>
          <w:lang w:val="en-US" w:eastAsia="de-DE"/>
        </w:rPr>
        <w:t>lled. It is al</w:t>
      </w:r>
      <w:r w:rsidR="008E73FC">
        <w:rPr>
          <w:lang w:val="en-US" w:eastAsia="de-DE"/>
        </w:rPr>
        <w:t>so worth noting that the identifi</w:t>
      </w:r>
      <w:r w:rsidRPr="00313188">
        <w:rPr>
          <w:lang w:val="en-US" w:eastAsia="de-DE"/>
        </w:rPr>
        <w:t>ed heterogeneity between these two groups, which is discussed in section 3.2, is recognizable. Thereby, the majority of cases</w:t>
      </w:r>
      <w:r>
        <w:rPr>
          <w:lang w:val="en-US" w:eastAsia="de-DE"/>
        </w:rPr>
        <w:t xml:space="preserve"> </w:t>
      </w:r>
      <w:r w:rsidR="00A60A59">
        <w:rPr>
          <w:lang w:val="en-US" w:eastAsia="de-DE"/>
        </w:rPr>
        <w:t>within</w:t>
      </w:r>
      <w:r w:rsidR="00A60A59" w:rsidRPr="00313188">
        <w:rPr>
          <w:lang w:val="en-US" w:eastAsia="de-DE"/>
        </w:rPr>
        <w:t xml:space="preserve"> </w:t>
      </w:r>
      <w:r w:rsidRPr="00313188">
        <w:rPr>
          <w:lang w:val="en-US" w:eastAsia="de-DE"/>
        </w:rPr>
        <w:t>the control group concentrate on the interval from 0 to 0.1, where those of the treatment group mostly lie above 0.</w:t>
      </w:r>
      <w:r w:rsidR="008E73FC">
        <w:rPr>
          <w:lang w:val="en-US" w:eastAsia="de-DE"/>
        </w:rPr>
        <w:t>1. Consequently, individuals diff</w:t>
      </w:r>
      <w:r w:rsidRPr="00313188">
        <w:rPr>
          <w:lang w:val="en-US" w:eastAsia="de-DE"/>
        </w:rPr>
        <w:t xml:space="preserve">er </w:t>
      </w:r>
      <w:r w:rsidR="00470464">
        <w:rPr>
          <w:lang w:val="en-US" w:eastAsia="de-DE"/>
        </w:rPr>
        <w:t xml:space="preserve">from </w:t>
      </w:r>
      <w:r w:rsidRPr="00313188">
        <w:rPr>
          <w:lang w:val="en-US" w:eastAsia="de-DE"/>
        </w:rPr>
        <w:t>the covariates being used in the analysis.</w:t>
      </w:r>
    </w:p>
    <w:p w:rsidR="00313188" w:rsidRPr="00313188" w:rsidRDefault="00313188" w:rsidP="00223B6D">
      <w:pPr>
        <w:spacing w:line="276" w:lineRule="auto"/>
        <w:rPr>
          <w:lang w:val="en-US" w:eastAsia="de-DE"/>
        </w:rPr>
      </w:pPr>
    </w:p>
    <w:p w:rsidR="00B76382" w:rsidRPr="00B76382" w:rsidRDefault="00B76382" w:rsidP="00223B6D">
      <w:pPr>
        <w:pStyle w:val="Titulek"/>
        <w:keepNext/>
        <w:spacing w:line="276" w:lineRule="auto"/>
        <w:rPr>
          <w:lang w:val="en-US"/>
        </w:rPr>
      </w:pPr>
      <w:r w:rsidRPr="00B76382">
        <w:rPr>
          <w:lang w:val="en-US"/>
        </w:rPr>
        <w:t xml:space="preserve">Figure </w:t>
      </w:r>
      <w:r w:rsidR="006A23B6">
        <w:fldChar w:fldCharType="begin"/>
      </w:r>
      <w:r w:rsidRPr="00B76382">
        <w:rPr>
          <w:lang w:val="en-US"/>
        </w:rPr>
        <w:instrText xml:space="preserve"> SEQ Figure \* ARABIC </w:instrText>
      </w:r>
      <w:r w:rsidR="006A23B6">
        <w:fldChar w:fldCharType="separate"/>
      </w:r>
      <w:r w:rsidR="00E45C4F">
        <w:rPr>
          <w:noProof/>
          <w:lang w:val="en-US"/>
        </w:rPr>
        <w:t>5</w:t>
      </w:r>
      <w:r w:rsidR="006A23B6">
        <w:fldChar w:fldCharType="end"/>
      </w:r>
      <w:r w:rsidRPr="00B76382">
        <w:rPr>
          <w:lang w:val="en-US"/>
        </w:rPr>
        <w:t>: Common Support for Contactless Credit Cards</w:t>
      </w:r>
    </w:p>
    <w:p w:rsidR="00313188" w:rsidRDefault="00B76382" w:rsidP="00223B6D">
      <w:pPr>
        <w:spacing w:line="276" w:lineRule="auto"/>
        <w:jc w:val="center"/>
        <w:rPr>
          <w:lang w:val="en-US" w:eastAsia="de-DE"/>
        </w:rPr>
      </w:pPr>
      <w:r>
        <w:rPr>
          <w:noProof/>
          <w:lang w:val="cs-CZ" w:eastAsia="cs-CZ"/>
        </w:rPr>
        <w:drawing>
          <wp:inline distT="0" distB="0" distL="0" distR="0">
            <wp:extent cx="2476800" cy="18000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POS_commonI.png"/>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800" cy="1800000"/>
                    </a:xfrm>
                    <a:prstGeom prst="rect">
                      <a:avLst/>
                    </a:prstGeom>
                  </pic:spPr>
                </pic:pic>
              </a:graphicData>
            </a:graphic>
          </wp:inline>
        </w:drawing>
      </w:r>
    </w:p>
    <w:p w:rsidR="00551554" w:rsidRDefault="00551554" w:rsidP="00223B6D">
      <w:pPr>
        <w:pStyle w:val="Nzev"/>
        <w:spacing w:line="276" w:lineRule="auto"/>
        <w:jc w:val="center"/>
        <w:rPr>
          <w:lang w:val="en-US" w:eastAsia="de-DE"/>
        </w:rPr>
      </w:pPr>
      <w:r w:rsidRPr="00C979AA">
        <w:rPr>
          <w:lang w:val="en-US" w:eastAsia="de-DE"/>
        </w:rPr>
        <w:t>Note: Logit propensity score</w:t>
      </w:r>
    </w:p>
    <w:p w:rsidR="00B76382" w:rsidRDefault="00B76382" w:rsidP="00223B6D">
      <w:pPr>
        <w:spacing w:line="276" w:lineRule="auto"/>
        <w:jc w:val="center"/>
        <w:rPr>
          <w:lang w:val="en-US" w:eastAsia="de-DE"/>
        </w:rPr>
      </w:pPr>
    </w:p>
    <w:p w:rsidR="00B76382" w:rsidRDefault="00B76382" w:rsidP="00223B6D">
      <w:pPr>
        <w:pStyle w:val="Titulek"/>
        <w:spacing w:line="276" w:lineRule="auto"/>
        <w:rPr>
          <w:lang w:val="en-US" w:eastAsia="de-DE"/>
        </w:rPr>
      </w:pPr>
      <w:r w:rsidRPr="00B76382">
        <w:rPr>
          <w:lang w:val="en-US"/>
        </w:rPr>
        <w:t xml:space="preserve">Figure </w:t>
      </w:r>
      <w:r w:rsidR="006A23B6">
        <w:fldChar w:fldCharType="begin"/>
      </w:r>
      <w:r w:rsidRPr="00B76382">
        <w:rPr>
          <w:lang w:val="en-US"/>
        </w:rPr>
        <w:instrText xml:space="preserve"> SEQ Figure \* ARABIC </w:instrText>
      </w:r>
      <w:r w:rsidR="006A23B6">
        <w:fldChar w:fldCharType="separate"/>
      </w:r>
      <w:r w:rsidR="00E45C4F">
        <w:rPr>
          <w:noProof/>
          <w:lang w:val="en-US"/>
        </w:rPr>
        <w:t>6</w:t>
      </w:r>
      <w:r w:rsidR="006A23B6">
        <w:fldChar w:fldCharType="end"/>
      </w:r>
      <w:r w:rsidRPr="00B76382">
        <w:rPr>
          <w:lang w:val="en-US"/>
        </w:rPr>
        <w:t>: Common Support for Contactless Credit Cards</w:t>
      </w:r>
    </w:p>
    <w:p w:rsidR="00B76382" w:rsidRDefault="00B76382" w:rsidP="00223B6D">
      <w:pPr>
        <w:spacing w:line="276" w:lineRule="auto"/>
        <w:jc w:val="center"/>
        <w:rPr>
          <w:lang w:val="en-US" w:eastAsia="de-DE"/>
        </w:rPr>
      </w:pPr>
      <w:r>
        <w:rPr>
          <w:noProof/>
          <w:lang w:val="cs-CZ" w:eastAsia="cs-CZ"/>
        </w:rPr>
        <w:drawing>
          <wp:inline distT="0" distB="0" distL="0" distR="0">
            <wp:extent cx="2476800" cy="180000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cPOS_commonI.png"/>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476800" cy="1800000"/>
                    </a:xfrm>
                    <a:prstGeom prst="rect">
                      <a:avLst/>
                    </a:prstGeom>
                  </pic:spPr>
                </pic:pic>
              </a:graphicData>
            </a:graphic>
          </wp:inline>
        </w:drawing>
      </w:r>
    </w:p>
    <w:p w:rsidR="00551554" w:rsidRDefault="00551554" w:rsidP="00223B6D">
      <w:pPr>
        <w:pStyle w:val="Nzev"/>
        <w:spacing w:line="276" w:lineRule="auto"/>
        <w:jc w:val="center"/>
        <w:rPr>
          <w:lang w:val="en-US" w:eastAsia="de-DE"/>
        </w:rPr>
      </w:pPr>
      <w:r w:rsidRPr="00C979AA">
        <w:rPr>
          <w:lang w:val="en-US" w:eastAsia="de-DE"/>
        </w:rPr>
        <w:t>Note: Logit propensity score</w:t>
      </w:r>
    </w:p>
    <w:p w:rsidR="00551554" w:rsidRPr="00313188" w:rsidRDefault="00551554" w:rsidP="00223B6D">
      <w:pPr>
        <w:spacing w:line="276" w:lineRule="auto"/>
        <w:jc w:val="center"/>
        <w:rPr>
          <w:lang w:val="en-US" w:eastAsia="de-DE"/>
        </w:rPr>
      </w:pPr>
    </w:p>
    <w:p w:rsidR="00313188" w:rsidRPr="00313188" w:rsidRDefault="00313188" w:rsidP="00223B6D">
      <w:pPr>
        <w:spacing w:line="276" w:lineRule="auto"/>
        <w:rPr>
          <w:lang w:val="en-US" w:eastAsia="de-DE"/>
        </w:rPr>
      </w:pPr>
    </w:p>
    <w:p w:rsidR="00313188" w:rsidRDefault="00313188" w:rsidP="00223B6D">
      <w:pPr>
        <w:spacing w:line="276" w:lineRule="auto"/>
        <w:rPr>
          <w:lang w:val="en-US" w:eastAsia="de-DE"/>
        </w:rPr>
      </w:pPr>
      <w:proofErr w:type="gramStart"/>
      <w:r w:rsidRPr="008E73FC">
        <w:rPr>
          <w:b/>
          <w:lang w:val="en-US" w:eastAsia="de-DE"/>
        </w:rPr>
        <w:t>Matching Quality.</w:t>
      </w:r>
      <w:proofErr w:type="gramEnd"/>
      <w:r w:rsidRPr="00313188">
        <w:rPr>
          <w:lang w:val="en-US" w:eastAsia="de-DE"/>
        </w:rPr>
        <w:t xml:space="preserve"> To test whether unequally distributed covariates between the groups are in sum well balanced by the propensity score, I</w:t>
      </w:r>
      <w:r w:rsidR="00A60A59">
        <w:rPr>
          <w:lang w:val="en-US" w:eastAsia="de-DE"/>
        </w:rPr>
        <w:t xml:space="preserve"> here</w:t>
      </w:r>
      <w:r w:rsidRPr="00313188">
        <w:rPr>
          <w:lang w:val="en-US" w:eastAsia="de-DE"/>
        </w:rPr>
        <w:t xml:space="preserve"> present test statistics of the matching quality in</w:t>
      </w:r>
      <w:r w:rsidR="008E73FC">
        <w:rPr>
          <w:lang w:val="en-US" w:eastAsia="de-DE"/>
        </w:rPr>
        <w:t xml:space="preserve"> Table 8. After matching, significant diff</w:t>
      </w:r>
      <w:r w:rsidRPr="00313188">
        <w:rPr>
          <w:lang w:val="en-US" w:eastAsia="de-DE"/>
        </w:rPr>
        <w:t xml:space="preserve">erences between the control and treatment group should not be observable anymore. There are various matching algorithms, from which I </w:t>
      </w:r>
      <w:r w:rsidR="00A60A59">
        <w:rPr>
          <w:lang w:val="en-US" w:eastAsia="de-DE"/>
        </w:rPr>
        <w:t>chose</w:t>
      </w:r>
      <w:r w:rsidR="00A60A59" w:rsidRPr="00313188">
        <w:rPr>
          <w:lang w:val="en-US" w:eastAsia="de-DE"/>
        </w:rPr>
        <w:t xml:space="preserve"> </w:t>
      </w:r>
      <w:r w:rsidRPr="00313188">
        <w:rPr>
          <w:lang w:val="en-US" w:eastAsia="de-DE"/>
        </w:rPr>
        <w:t>kernel matching due to many comparable untreated individuals (</w:t>
      </w:r>
      <w:proofErr w:type="spellStart"/>
      <w:r w:rsidRPr="00313188">
        <w:rPr>
          <w:lang w:val="en-US" w:eastAsia="de-DE"/>
        </w:rPr>
        <w:t>Caliendo</w:t>
      </w:r>
      <w:proofErr w:type="spellEnd"/>
      <w:r w:rsidRPr="00313188">
        <w:rPr>
          <w:lang w:val="en-US" w:eastAsia="de-DE"/>
        </w:rPr>
        <w:t xml:space="preserve"> and </w:t>
      </w:r>
      <w:proofErr w:type="spellStart"/>
      <w:r w:rsidRPr="00313188">
        <w:rPr>
          <w:lang w:val="en-US" w:eastAsia="de-DE"/>
        </w:rPr>
        <w:t>K</w:t>
      </w:r>
      <w:r w:rsidR="008E73FC">
        <w:rPr>
          <w:lang w:val="en-US" w:eastAsia="de-DE"/>
        </w:rPr>
        <w:t>opeinig</w:t>
      </w:r>
      <w:proofErr w:type="spellEnd"/>
      <w:r w:rsidR="008E73FC">
        <w:rPr>
          <w:lang w:val="en-US" w:eastAsia="de-DE"/>
        </w:rPr>
        <w:t>, 2005). The test statis</w:t>
      </w:r>
      <w:r w:rsidR="00615BBC">
        <w:rPr>
          <w:lang w:val="en-US" w:eastAsia="de-DE"/>
        </w:rPr>
        <w:t>tics show that the Pseudo-R</w:t>
      </w:r>
      <w:r w:rsidR="00615BBC">
        <w:rPr>
          <w:vertAlign w:val="superscript"/>
          <w:lang w:val="en-US" w:eastAsia="de-DE"/>
        </w:rPr>
        <w:t>2</w:t>
      </w:r>
      <w:r w:rsidRPr="00313188">
        <w:rPr>
          <w:lang w:val="en-US" w:eastAsia="de-DE"/>
        </w:rPr>
        <w:t xml:space="preserve"> is close to</w:t>
      </w:r>
      <w:r w:rsidR="008E73FC">
        <w:rPr>
          <w:lang w:val="en-US" w:eastAsia="de-DE"/>
        </w:rPr>
        <w:t xml:space="preserve"> zero and statistically insignifi</w:t>
      </w:r>
      <w:r w:rsidRPr="00313188">
        <w:rPr>
          <w:lang w:val="en-US" w:eastAsia="de-DE"/>
        </w:rPr>
        <w:t>cant in all</w:t>
      </w:r>
      <w:r w:rsidR="008E73FC">
        <w:rPr>
          <w:lang w:val="en-US" w:eastAsia="de-DE"/>
        </w:rPr>
        <w:t xml:space="preserve"> </w:t>
      </w:r>
      <w:r w:rsidRPr="00313188">
        <w:rPr>
          <w:lang w:val="en-US" w:eastAsia="de-DE"/>
        </w:rPr>
        <w:t>cases, implying that none of the covariates is suitab</w:t>
      </w:r>
      <w:r w:rsidR="008E73FC">
        <w:rPr>
          <w:lang w:val="en-US" w:eastAsia="de-DE"/>
        </w:rPr>
        <w:t>le to predict participation any</w:t>
      </w:r>
      <w:r w:rsidRPr="00313188">
        <w:rPr>
          <w:lang w:val="en-US" w:eastAsia="de-DE"/>
        </w:rPr>
        <w:t>more. Further</w:t>
      </w:r>
      <w:r w:rsidR="00DB6943">
        <w:rPr>
          <w:lang w:val="en-US" w:eastAsia="de-DE"/>
        </w:rPr>
        <w:t>more</w:t>
      </w:r>
      <w:r w:rsidRPr="00313188">
        <w:rPr>
          <w:lang w:val="en-US" w:eastAsia="de-DE"/>
        </w:rPr>
        <w:t xml:space="preserve">, the mean bias </w:t>
      </w:r>
      <w:r w:rsidRPr="00313188">
        <w:rPr>
          <w:lang w:val="en-US" w:eastAsia="de-DE"/>
        </w:rPr>
        <w:lastRenderedPageBreak/>
        <w:t>before and after matching indicates strong matching quality since the bias is reduced below</w:t>
      </w:r>
      <w:r w:rsidR="008E73FC">
        <w:rPr>
          <w:lang w:val="en-US" w:eastAsia="de-DE"/>
        </w:rPr>
        <w:t xml:space="preserve"> 3 percent in all cases.</w:t>
      </w:r>
      <w:r w:rsidR="008E73FC">
        <w:rPr>
          <w:rStyle w:val="Znakapoznpodarou"/>
          <w:lang w:val="en-US" w:eastAsia="de-DE"/>
        </w:rPr>
        <w:footnoteReference w:id="19"/>
      </w:r>
    </w:p>
    <w:p w:rsidR="0076706F" w:rsidRDefault="0076706F" w:rsidP="00223B6D">
      <w:pPr>
        <w:pStyle w:val="Titulek"/>
        <w:keepNext/>
        <w:spacing w:line="276" w:lineRule="auto"/>
      </w:pPr>
      <w:r>
        <w:t xml:space="preserve">Table </w:t>
      </w:r>
      <w:r w:rsidR="006A23B6">
        <w:fldChar w:fldCharType="begin"/>
      </w:r>
      <w:r w:rsidR="00662C08">
        <w:instrText xml:space="preserve"> SEQ Table \* ARABIC </w:instrText>
      </w:r>
      <w:r w:rsidR="006A23B6">
        <w:fldChar w:fldCharType="separate"/>
      </w:r>
      <w:r w:rsidR="00E45C4F">
        <w:rPr>
          <w:noProof/>
        </w:rPr>
        <w:t>8</w:t>
      </w:r>
      <w:r w:rsidR="006A23B6">
        <w:rPr>
          <w:noProof/>
        </w:rPr>
        <w:fldChar w:fldCharType="end"/>
      </w:r>
      <w:r>
        <w:t xml:space="preserve">: </w:t>
      </w:r>
      <w:proofErr w:type="spellStart"/>
      <w:r>
        <w:t>Matching</w:t>
      </w:r>
      <w:proofErr w:type="spellEnd"/>
      <w:r>
        <w:t xml:space="preserve"> Quality</w:t>
      </w:r>
    </w:p>
    <w:tbl>
      <w:tblPr>
        <w:tblW w:w="0" w:type="auto"/>
        <w:jc w:val="center"/>
        <w:tblLayout w:type="fixed"/>
        <w:tblCellMar>
          <w:left w:w="0" w:type="dxa"/>
          <w:right w:w="0" w:type="dxa"/>
        </w:tblCellMar>
        <w:tblLook w:val="0000"/>
      </w:tblPr>
      <w:tblGrid>
        <w:gridCol w:w="1560"/>
        <w:gridCol w:w="1140"/>
        <w:gridCol w:w="1160"/>
      </w:tblGrid>
      <w:tr w:rsidR="0076706F" w:rsidRPr="008B53E5" w:rsidTr="006E2CB4">
        <w:trPr>
          <w:trHeight w:val="310"/>
          <w:jc w:val="center"/>
        </w:trPr>
        <w:tc>
          <w:tcPr>
            <w:tcW w:w="1560" w:type="dxa"/>
            <w:tcBorders>
              <w:top w:val="single" w:sz="8" w:space="0" w:color="auto"/>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single" w:sz="8" w:space="0" w:color="auto"/>
              <w:left w:val="nil"/>
              <w:bottom w:val="nil"/>
              <w:right w:val="nil"/>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Pseudo-R</w:t>
            </w:r>
            <w:r w:rsidRPr="008B53E5">
              <w:rPr>
                <w:rFonts w:cs="Times New Roman"/>
                <w:iCs/>
                <w:color w:val="000000"/>
                <w:sz w:val="20"/>
                <w:vertAlign w:val="superscript"/>
                <w:lang w:val="en-US"/>
              </w:rPr>
              <w:t>2</w:t>
            </w:r>
          </w:p>
        </w:tc>
        <w:tc>
          <w:tcPr>
            <w:tcW w:w="1160" w:type="dxa"/>
            <w:tcBorders>
              <w:top w:val="single" w:sz="8" w:space="0" w:color="auto"/>
              <w:left w:val="nil"/>
              <w:bottom w:val="nil"/>
              <w:right w:val="nil"/>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Mean Bias</w:t>
            </w:r>
          </w:p>
        </w:tc>
      </w:tr>
      <w:tr w:rsidR="0076706F" w:rsidRPr="008B53E5" w:rsidTr="006E2CB4">
        <w:trPr>
          <w:trHeight w:val="110"/>
          <w:jc w:val="center"/>
        </w:trPr>
        <w:tc>
          <w:tcPr>
            <w:tcW w:w="1560" w:type="dxa"/>
            <w:tcBorders>
              <w:top w:val="nil"/>
              <w:left w:val="nil"/>
              <w:bottom w:val="single" w:sz="8" w:space="0" w:color="auto"/>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single" w:sz="8" w:space="0" w:color="auto"/>
              <w:right w:val="nil"/>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60" w:type="dxa"/>
            <w:tcBorders>
              <w:top w:val="nil"/>
              <w:left w:val="nil"/>
              <w:bottom w:val="single" w:sz="8" w:space="0" w:color="auto"/>
              <w:right w:val="nil"/>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r>
      <w:tr w:rsidR="0076706F" w:rsidRPr="008B53E5" w:rsidTr="006E2CB4">
        <w:trPr>
          <w:trHeight w:val="208"/>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CC POS</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0.002</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1.7</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(0.067***)</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(12.0)</w:t>
            </w:r>
          </w:p>
        </w:tc>
      </w:tr>
      <w:tr w:rsidR="0076706F" w:rsidRPr="008B53E5" w:rsidTr="006E2CB4">
        <w:trPr>
          <w:trHeight w:val="314"/>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CC Retail</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0.004</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1.4</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(0.110***)</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(9.3)</w:t>
            </w:r>
          </w:p>
        </w:tc>
      </w:tr>
      <w:tr w:rsidR="0076706F" w:rsidRPr="008B53E5" w:rsidTr="006E2CB4">
        <w:trPr>
          <w:trHeight w:val="314"/>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CC Services</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0.002</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1.7</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(0.066***)</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(11.7)</w:t>
            </w:r>
          </w:p>
        </w:tc>
      </w:tr>
      <w:tr w:rsidR="0076706F" w:rsidRPr="008B53E5" w:rsidTr="006E2CB4">
        <w:trPr>
          <w:trHeight w:val="314"/>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DC POS</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0.004</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2.4</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(0.119***)</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(17.2)</w:t>
            </w:r>
          </w:p>
        </w:tc>
      </w:tr>
      <w:tr w:rsidR="0076706F" w:rsidRPr="008B53E5" w:rsidTr="006E2CB4">
        <w:trPr>
          <w:trHeight w:val="314"/>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DC Retail</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0.004</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2.5</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(0.118***)</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(17.5)</w:t>
            </w:r>
          </w:p>
        </w:tc>
      </w:tr>
      <w:tr w:rsidR="0076706F" w:rsidRPr="008B53E5" w:rsidTr="006E2CB4">
        <w:trPr>
          <w:trHeight w:val="314"/>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DC Services</w:t>
            </w: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0.003</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2.1</w:t>
            </w:r>
          </w:p>
        </w:tc>
      </w:tr>
      <w:tr w:rsidR="0076706F" w:rsidRPr="008B53E5" w:rsidTr="006E2CB4">
        <w:trPr>
          <w:trHeight w:val="165"/>
          <w:jc w:val="center"/>
        </w:trPr>
        <w:tc>
          <w:tcPr>
            <w:tcW w:w="1560" w:type="dxa"/>
            <w:tcBorders>
              <w:top w:val="nil"/>
              <w:left w:val="nil"/>
              <w:bottom w:val="nil"/>
              <w:right w:val="single" w:sz="8" w:space="0" w:color="auto"/>
            </w:tcBorders>
            <w:vAlign w:val="bottom"/>
          </w:tcPr>
          <w:p w:rsidR="0076706F" w:rsidRPr="008B53E5" w:rsidRDefault="0076706F" w:rsidP="00223B6D">
            <w:pPr>
              <w:widowControl w:val="0"/>
              <w:autoSpaceDE w:val="0"/>
              <w:autoSpaceDN w:val="0"/>
              <w:adjustRightInd w:val="0"/>
              <w:spacing w:line="276" w:lineRule="auto"/>
              <w:jc w:val="left"/>
              <w:rPr>
                <w:rFonts w:cs="Times New Roman"/>
                <w:iCs/>
                <w:color w:val="000000"/>
                <w:sz w:val="20"/>
                <w:lang w:val="en-US"/>
              </w:rPr>
            </w:pPr>
          </w:p>
        </w:tc>
        <w:tc>
          <w:tcPr>
            <w:tcW w:w="114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(0.120***)</w:t>
            </w:r>
          </w:p>
        </w:tc>
        <w:tc>
          <w:tcPr>
            <w:tcW w:w="1160" w:type="dxa"/>
            <w:tcBorders>
              <w:top w:val="nil"/>
              <w:left w:val="nil"/>
              <w:bottom w:val="nil"/>
              <w:right w:val="nil"/>
            </w:tcBorders>
            <w:vAlign w:val="bottom"/>
          </w:tcPr>
          <w:p w:rsidR="0076706F" w:rsidRPr="008B53E5" w:rsidRDefault="0076706F"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(17.3)</w:t>
            </w:r>
          </w:p>
        </w:tc>
      </w:tr>
      <w:tr w:rsidR="0076706F" w:rsidRPr="008B53E5" w:rsidTr="006E2CB4">
        <w:trPr>
          <w:trHeight w:val="93"/>
          <w:jc w:val="center"/>
        </w:trPr>
        <w:tc>
          <w:tcPr>
            <w:tcW w:w="1560" w:type="dxa"/>
            <w:tcBorders>
              <w:top w:val="nil"/>
              <w:left w:val="nil"/>
              <w:bottom w:val="single" w:sz="8" w:space="0" w:color="auto"/>
              <w:right w:val="single" w:sz="8" w:space="0" w:color="auto"/>
            </w:tcBorders>
            <w:vAlign w:val="bottom"/>
          </w:tcPr>
          <w:p w:rsidR="0076706F" w:rsidRPr="008B53E5" w:rsidRDefault="0076706F" w:rsidP="00223B6D">
            <w:pPr>
              <w:widowControl w:val="0"/>
              <w:autoSpaceDE w:val="0"/>
              <w:autoSpaceDN w:val="0"/>
              <w:adjustRightInd w:val="0"/>
              <w:spacing w:line="276" w:lineRule="auto"/>
              <w:rPr>
                <w:rFonts w:cs="Times New Roman"/>
                <w:sz w:val="20"/>
              </w:rPr>
            </w:pPr>
          </w:p>
        </w:tc>
        <w:tc>
          <w:tcPr>
            <w:tcW w:w="1140" w:type="dxa"/>
            <w:tcBorders>
              <w:top w:val="nil"/>
              <w:left w:val="nil"/>
              <w:bottom w:val="single" w:sz="8" w:space="0" w:color="auto"/>
              <w:right w:val="nil"/>
            </w:tcBorders>
            <w:vAlign w:val="bottom"/>
          </w:tcPr>
          <w:p w:rsidR="0076706F" w:rsidRPr="008B53E5" w:rsidRDefault="0076706F" w:rsidP="00223B6D">
            <w:pPr>
              <w:widowControl w:val="0"/>
              <w:autoSpaceDE w:val="0"/>
              <w:autoSpaceDN w:val="0"/>
              <w:adjustRightInd w:val="0"/>
              <w:spacing w:line="276" w:lineRule="auto"/>
              <w:rPr>
                <w:rFonts w:cs="Times New Roman"/>
                <w:sz w:val="20"/>
              </w:rPr>
            </w:pPr>
          </w:p>
        </w:tc>
        <w:tc>
          <w:tcPr>
            <w:tcW w:w="1160" w:type="dxa"/>
            <w:tcBorders>
              <w:top w:val="nil"/>
              <w:left w:val="nil"/>
              <w:bottom w:val="single" w:sz="8" w:space="0" w:color="auto"/>
              <w:right w:val="nil"/>
            </w:tcBorders>
            <w:vAlign w:val="bottom"/>
          </w:tcPr>
          <w:p w:rsidR="0076706F" w:rsidRPr="008B53E5" w:rsidRDefault="0076706F" w:rsidP="00223B6D">
            <w:pPr>
              <w:widowControl w:val="0"/>
              <w:autoSpaceDE w:val="0"/>
              <w:autoSpaceDN w:val="0"/>
              <w:adjustRightInd w:val="0"/>
              <w:spacing w:line="276" w:lineRule="auto"/>
              <w:rPr>
                <w:rFonts w:cs="Times New Roman"/>
                <w:sz w:val="20"/>
              </w:rPr>
            </w:pPr>
          </w:p>
        </w:tc>
      </w:tr>
    </w:tbl>
    <w:p w:rsidR="00313188" w:rsidRDefault="006E2CB4" w:rsidP="00223B6D">
      <w:pPr>
        <w:pStyle w:val="Nzev"/>
        <w:spacing w:line="276" w:lineRule="auto"/>
        <w:rPr>
          <w:lang w:val="en-US" w:eastAsia="de-DE"/>
        </w:rPr>
      </w:pPr>
      <w:r>
        <w:rPr>
          <w:lang w:val="en-US" w:eastAsia="de-DE"/>
        </w:rPr>
        <w:t>Note: Signifi</w:t>
      </w:r>
      <w:r w:rsidRPr="006E2CB4">
        <w:rPr>
          <w:lang w:val="en-US" w:eastAsia="de-DE"/>
        </w:rPr>
        <w:t>cance levels 1% ***, 5% **, and 10% *. After matching, the lik</w:t>
      </w:r>
      <w:r>
        <w:rPr>
          <w:lang w:val="en-US" w:eastAsia="de-DE"/>
        </w:rPr>
        <w:t>elihood-ratio test is not signifi</w:t>
      </w:r>
      <w:r w:rsidRPr="006E2CB4">
        <w:rPr>
          <w:lang w:val="en-US" w:eastAsia="de-DE"/>
        </w:rPr>
        <w:t xml:space="preserve">cant indicating that the </w:t>
      </w:r>
      <w:proofErr w:type="spellStart"/>
      <w:r w:rsidRPr="006E2CB4">
        <w:rPr>
          <w:lang w:val="en-US" w:eastAsia="de-DE"/>
        </w:rPr>
        <w:t>regressors</w:t>
      </w:r>
      <w:proofErr w:type="spellEnd"/>
      <w:r w:rsidRPr="006E2CB4">
        <w:rPr>
          <w:lang w:val="en-US" w:eastAsia="de-DE"/>
        </w:rPr>
        <w:t xml:space="preserve"> cannot predict participation into treatment anymore, i.e. good matching quality. Figures before matching are in parentheses.</w:t>
      </w:r>
    </w:p>
    <w:p w:rsidR="0076706F" w:rsidRPr="00313188" w:rsidRDefault="0076706F" w:rsidP="00223B6D">
      <w:pPr>
        <w:spacing w:line="276" w:lineRule="auto"/>
        <w:rPr>
          <w:lang w:val="en-US" w:eastAsia="de-DE"/>
        </w:rPr>
      </w:pPr>
    </w:p>
    <w:p w:rsidR="00313188" w:rsidRDefault="00313188" w:rsidP="00223B6D">
      <w:pPr>
        <w:spacing w:line="276" w:lineRule="auto"/>
        <w:rPr>
          <w:lang w:val="en-US" w:eastAsia="de-DE"/>
        </w:rPr>
      </w:pPr>
      <w:proofErr w:type="gramStart"/>
      <w:r w:rsidRPr="00B41112">
        <w:rPr>
          <w:b/>
          <w:lang w:val="en-US" w:eastAsia="de-DE"/>
        </w:rPr>
        <w:t>Results.</w:t>
      </w:r>
      <w:proofErr w:type="gramEnd"/>
      <w:r w:rsidR="00B41112">
        <w:rPr>
          <w:lang w:val="en-US" w:eastAsia="de-DE"/>
        </w:rPr>
        <w:t xml:space="preserve"> The results of the treatment eff</w:t>
      </w:r>
      <w:r w:rsidRPr="00313188">
        <w:rPr>
          <w:lang w:val="en-US" w:eastAsia="de-DE"/>
        </w:rPr>
        <w:t>ects of c</w:t>
      </w:r>
      <w:r w:rsidR="00B41112">
        <w:rPr>
          <w:lang w:val="en-US" w:eastAsia="de-DE"/>
        </w:rPr>
        <w:t>ontactless payment on the spending ratio of diff</w:t>
      </w:r>
      <w:r w:rsidRPr="00313188">
        <w:rPr>
          <w:lang w:val="en-US" w:eastAsia="de-DE"/>
        </w:rPr>
        <w:t xml:space="preserve">erent transaction types are presented in Table 9. As a reference point </w:t>
      </w:r>
      <w:r w:rsidR="00B41112">
        <w:rPr>
          <w:lang w:val="en-US" w:eastAsia="de-DE"/>
        </w:rPr>
        <w:t xml:space="preserve">- </w:t>
      </w:r>
      <w:r w:rsidRPr="00313188">
        <w:rPr>
          <w:lang w:val="en-US" w:eastAsia="de-DE"/>
        </w:rPr>
        <w:t xml:space="preserve">besides PSM estimation </w:t>
      </w:r>
      <w:r w:rsidR="00B41112">
        <w:rPr>
          <w:lang w:val="en-US" w:eastAsia="de-DE"/>
        </w:rPr>
        <w:t>-</w:t>
      </w:r>
      <w:r w:rsidRPr="00313188">
        <w:rPr>
          <w:lang w:val="en-US" w:eastAsia="de-DE"/>
        </w:rPr>
        <w:t>the ATE and ATT are additionally calculated using Tobit estimation that accounts for data cens</w:t>
      </w:r>
      <w:r w:rsidR="00B41112">
        <w:rPr>
          <w:lang w:val="en-US" w:eastAsia="de-DE"/>
        </w:rPr>
        <w:t>oring at zero, but does not con</w:t>
      </w:r>
      <w:r w:rsidRPr="00313188">
        <w:rPr>
          <w:lang w:val="en-US" w:eastAsia="de-DE"/>
        </w:rPr>
        <w:t>sider non-random assignment into treatment. These parameters are obtained by the basic regression eq</w:t>
      </w:r>
      <w:r w:rsidR="00B41112">
        <w:rPr>
          <w:lang w:val="en-US" w:eastAsia="de-DE"/>
        </w:rPr>
        <w:t xml:space="preserve">uation </w:t>
      </w:r>
      <w:r w:rsidR="00720E70">
        <w:rPr>
          <w:lang w:val="en-US" w:eastAsia="de-DE"/>
        </w:rPr>
        <w:t>in section 4.1</w:t>
      </w:r>
      <w:r w:rsidR="00B41112">
        <w:rPr>
          <w:lang w:val="en-US" w:eastAsia="de-DE"/>
        </w:rPr>
        <w:t>. The statistical signifi</w:t>
      </w:r>
      <w:r w:rsidRPr="00313188">
        <w:rPr>
          <w:lang w:val="en-US" w:eastAsia="de-DE"/>
        </w:rPr>
        <w:t xml:space="preserve">cance of the ATT in the PSM estimation is calculated with the bootstrapping method as proposed in </w:t>
      </w:r>
      <w:proofErr w:type="spellStart"/>
      <w:r w:rsidRPr="00313188">
        <w:rPr>
          <w:lang w:val="en-US" w:eastAsia="de-DE"/>
        </w:rPr>
        <w:t>Lechner</w:t>
      </w:r>
      <w:proofErr w:type="spellEnd"/>
      <w:r w:rsidRPr="00313188">
        <w:rPr>
          <w:lang w:val="en-US" w:eastAsia="de-DE"/>
        </w:rPr>
        <w:t xml:space="preserve"> (2002), because also the variance due to the propensity score and the imputation of the common support, besides </w:t>
      </w:r>
      <w:r w:rsidR="00B41112">
        <w:rPr>
          <w:lang w:val="en-US" w:eastAsia="de-DE"/>
        </w:rPr>
        <w:t>the variance of the treatment eff</w:t>
      </w:r>
      <w:r w:rsidRPr="00313188">
        <w:rPr>
          <w:lang w:val="en-US" w:eastAsia="de-DE"/>
        </w:rPr>
        <w:t>ect, has to be considered</w:t>
      </w:r>
      <w:r w:rsidR="007347B3">
        <w:rPr>
          <w:lang w:val="en-US" w:eastAsia="de-DE"/>
        </w:rPr>
        <w:t xml:space="preserve"> to estimate standard errors.</w:t>
      </w:r>
      <w:r w:rsidR="007347B3">
        <w:rPr>
          <w:rStyle w:val="Znakapoznpodarou"/>
          <w:lang w:val="en-US" w:eastAsia="de-DE"/>
        </w:rPr>
        <w:footnoteReference w:id="20"/>
      </w:r>
    </w:p>
    <w:p w:rsidR="006A4B1A" w:rsidRDefault="006A4B1A"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Default="007D72F8" w:rsidP="00223B6D">
      <w:pPr>
        <w:spacing w:line="276" w:lineRule="auto"/>
        <w:rPr>
          <w:lang w:val="en-US" w:eastAsia="de-DE"/>
        </w:rPr>
      </w:pPr>
    </w:p>
    <w:p w:rsidR="007D72F8" w:rsidRPr="00313188" w:rsidRDefault="007D72F8" w:rsidP="00223B6D">
      <w:pPr>
        <w:spacing w:line="276" w:lineRule="auto"/>
        <w:rPr>
          <w:lang w:val="en-US" w:eastAsia="de-DE"/>
        </w:rPr>
      </w:pPr>
    </w:p>
    <w:p w:rsidR="00313188" w:rsidRPr="006A4B1A" w:rsidRDefault="006A4B1A" w:rsidP="00223B6D">
      <w:pPr>
        <w:pStyle w:val="Titulek"/>
        <w:spacing w:line="276" w:lineRule="auto"/>
        <w:rPr>
          <w:lang w:val="en-US" w:eastAsia="de-DE"/>
        </w:rPr>
      </w:pPr>
      <w:r w:rsidRPr="006A4B1A">
        <w:rPr>
          <w:lang w:val="en-US"/>
        </w:rPr>
        <w:lastRenderedPageBreak/>
        <w:t xml:space="preserve">Table </w:t>
      </w:r>
      <w:r w:rsidR="006A23B6">
        <w:fldChar w:fldCharType="begin"/>
      </w:r>
      <w:r w:rsidRPr="006A4B1A">
        <w:rPr>
          <w:lang w:val="en-US"/>
        </w:rPr>
        <w:instrText xml:space="preserve"> SEQ Table \* ARABIC </w:instrText>
      </w:r>
      <w:r w:rsidR="006A23B6">
        <w:fldChar w:fldCharType="separate"/>
      </w:r>
      <w:r w:rsidR="00E45C4F">
        <w:rPr>
          <w:noProof/>
          <w:lang w:val="en-US"/>
        </w:rPr>
        <w:t>9</w:t>
      </w:r>
      <w:r w:rsidR="006A23B6">
        <w:fldChar w:fldCharType="end"/>
      </w:r>
      <w:r w:rsidRPr="006A4B1A">
        <w:rPr>
          <w:lang w:val="en-US"/>
        </w:rPr>
        <w:t>: Impact of Contactless Payment Cards on the Spending Ratio</w:t>
      </w:r>
    </w:p>
    <w:tbl>
      <w:tblPr>
        <w:tblW w:w="0" w:type="auto"/>
        <w:jc w:val="center"/>
        <w:tblLayout w:type="fixed"/>
        <w:tblCellMar>
          <w:left w:w="0" w:type="dxa"/>
          <w:right w:w="0" w:type="dxa"/>
        </w:tblCellMar>
        <w:tblLook w:val="0000"/>
      </w:tblPr>
      <w:tblGrid>
        <w:gridCol w:w="1540"/>
        <w:gridCol w:w="1060"/>
        <w:gridCol w:w="1060"/>
        <w:gridCol w:w="1060"/>
        <w:gridCol w:w="1080"/>
      </w:tblGrid>
      <w:tr w:rsidR="00995160" w:rsidRPr="008B53E5" w:rsidTr="0073763C">
        <w:trPr>
          <w:trHeight w:val="420"/>
          <w:jc w:val="center"/>
        </w:trPr>
        <w:tc>
          <w:tcPr>
            <w:tcW w:w="1540" w:type="dxa"/>
            <w:tcBorders>
              <w:top w:val="single" w:sz="8" w:space="0" w:color="auto"/>
              <w:left w:val="nil"/>
              <w:bottom w:val="single" w:sz="8" w:space="0" w:color="auto"/>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single" w:sz="8" w:space="0" w:color="auto"/>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roofErr w:type="spellStart"/>
            <w:r w:rsidRPr="008B53E5">
              <w:rPr>
                <w:rFonts w:cs="Times New Roman"/>
                <w:iCs/>
                <w:color w:val="000000"/>
                <w:sz w:val="20"/>
                <w:lang w:val="en-US"/>
              </w:rPr>
              <w:t>ATE</w:t>
            </w:r>
            <w:r w:rsidRPr="008B53E5">
              <w:rPr>
                <w:rFonts w:cs="Times New Roman"/>
                <w:iCs/>
                <w:color w:val="000000"/>
                <w:sz w:val="20"/>
                <w:vertAlign w:val="subscript"/>
                <w:lang w:val="en-US"/>
              </w:rPr>
              <w:t>Tobit</w:t>
            </w:r>
            <w:proofErr w:type="spellEnd"/>
          </w:p>
        </w:tc>
        <w:tc>
          <w:tcPr>
            <w:tcW w:w="1060" w:type="dxa"/>
            <w:tcBorders>
              <w:top w:val="single" w:sz="8" w:space="0" w:color="auto"/>
              <w:left w:val="nil"/>
              <w:bottom w:val="single" w:sz="8" w:space="0" w:color="auto"/>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roofErr w:type="spellStart"/>
            <w:r w:rsidRPr="008B53E5">
              <w:rPr>
                <w:rFonts w:cs="Times New Roman"/>
                <w:iCs/>
                <w:color w:val="000000"/>
                <w:sz w:val="20"/>
                <w:lang w:val="en-US"/>
              </w:rPr>
              <w:t>ATT</w:t>
            </w:r>
            <w:r w:rsidRPr="008B53E5">
              <w:rPr>
                <w:rFonts w:cs="Times New Roman"/>
                <w:iCs/>
                <w:color w:val="000000"/>
                <w:sz w:val="20"/>
                <w:vertAlign w:val="subscript"/>
                <w:lang w:val="en-US"/>
              </w:rPr>
              <w:t>Tobit</w:t>
            </w:r>
            <w:proofErr w:type="spellEnd"/>
          </w:p>
        </w:tc>
        <w:tc>
          <w:tcPr>
            <w:tcW w:w="1060" w:type="dxa"/>
            <w:tcBorders>
              <w:top w:val="single" w:sz="8" w:space="0" w:color="auto"/>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ATE</w:t>
            </w:r>
            <w:r w:rsidRPr="008B53E5">
              <w:rPr>
                <w:rFonts w:cs="Times New Roman"/>
                <w:iCs/>
                <w:color w:val="000000"/>
                <w:sz w:val="20"/>
                <w:vertAlign w:val="subscript"/>
                <w:lang w:val="en-US"/>
              </w:rPr>
              <w:t>PSM</w:t>
            </w:r>
          </w:p>
        </w:tc>
        <w:tc>
          <w:tcPr>
            <w:tcW w:w="1080" w:type="dxa"/>
            <w:tcBorders>
              <w:top w:val="single" w:sz="8" w:space="0" w:color="auto"/>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ATT</w:t>
            </w:r>
            <w:r w:rsidRPr="008B53E5">
              <w:rPr>
                <w:rFonts w:cs="Times New Roman"/>
                <w:iCs/>
                <w:color w:val="000000"/>
                <w:sz w:val="20"/>
                <w:vertAlign w:val="subscript"/>
                <w:lang w:val="en-US"/>
              </w:rPr>
              <w:t>PSM</w:t>
            </w:r>
          </w:p>
        </w:tc>
      </w:tr>
      <w:tr w:rsidR="00995160" w:rsidRPr="008B53E5" w:rsidTr="0073763C">
        <w:trPr>
          <w:trHeight w:val="208"/>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CC POS</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0.096</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0.131</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0.080</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0.083</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(0.076)</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(0.032)</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(0.027)</w:t>
            </w:r>
          </w:p>
        </w:tc>
      </w:tr>
      <w:tr w:rsidR="00995160" w:rsidRPr="008B53E5" w:rsidTr="0073763C">
        <w:trPr>
          <w:trHeight w:val="314"/>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CC Retail</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0.074</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0.094</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0.047</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0.048</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(0.065)</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(0.032)</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(0.019)</w:t>
            </w:r>
          </w:p>
        </w:tc>
      </w:tr>
      <w:tr w:rsidR="00995160" w:rsidRPr="008B53E5" w:rsidTr="0073763C">
        <w:trPr>
          <w:trHeight w:val="314"/>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CC Services</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0.020</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0.049</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0.031</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0.035</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(0.050)</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(0.024)</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(0.014)</w:t>
            </w:r>
          </w:p>
        </w:tc>
      </w:tr>
      <w:tr w:rsidR="00995160" w:rsidRPr="008B53E5" w:rsidTr="0073763C">
        <w:trPr>
          <w:trHeight w:val="314"/>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DC POS</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0.239</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0.158</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0.144</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0.100</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(0.086)</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(0.010)</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(0.029)</w:t>
            </w:r>
          </w:p>
        </w:tc>
      </w:tr>
      <w:tr w:rsidR="00995160" w:rsidRPr="008B53E5" w:rsidTr="0073763C">
        <w:trPr>
          <w:trHeight w:val="314"/>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DC Retail</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0.120</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0.099</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0.085</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0.045</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(0.079)</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(0.028)</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(0.023)</w:t>
            </w:r>
          </w:p>
        </w:tc>
      </w:tr>
      <w:tr w:rsidR="00995160" w:rsidRPr="008B53E5" w:rsidTr="0073763C">
        <w:trPr>
          <w:trHeight w:val="314"/>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r w:rsidRPr="008B53E5">
              <w:rPr>
                <w:rFonts w:cs="Times New Roman"/>
                <w:iCs/>
                <w:color w:val="000000"/>
                <w:sz w:val="20"/>
                <w:lang w:val="en-US"/>
              </w:rPr>
              <w:t xml:space="preserve">   DC Services</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0.142</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0.105</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0.052</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0.045</w:t>
            </w:r>
          </w:p>
        </w:tc>
      </w:tr>
      <w:tr w:rsidR="00995160" w:rsidRPr="008B53E5" w:rsidTr="0073763C">
        <w:trPr>
          <w:trHeight w:val="165"/>
          <w:jc w:val="center"/>
        </w:trPr>
        <w:tc>
          <w:tcPr>
            <w:tcW w:w="154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left"/>
              <w:rPr>
                <w:rFonts w:cs="Times New Roman"/>
                <w:iCs/>
                <w:color w:val="000000"/>
                <w:sz w:val="20"/>
                <w:lang w:val="en-US"/>
              </w:rPr>
            </w:pP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(0.050)</w:t>
            </w:r>
          </w:p>
        </w:tc>
        <w:tc>
          <w:tcPr>
            <w:tcW w:w="1060" w:type="dxa"/>
            <w:tcBorders>
              <w:top w:val="nil"/>
              <w:left w:val="nil"/>
              <w:bottom w:val="nil"/>
              <w:right w:val="single" w:sz="8" w:space="0" w:color="auto"/>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(0.012)</w:t>
            </w:r>
          </w:p>
        </w:tc>
        <w:tc>
          <w:tcPr>
            <w:tcW w:w="106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w:t>
            </w:r>
          </w:p>
        </w:tc>
        <w:tc>
          <w:tcPr>
            <w:tcW w:w="1080" w:type="dxa"/>
            <w:tcBorders>
              <w:top w:val="nil"/>
              <w:left w:val="nil"/>
              <w:bottom w:val="nil"/>
              <w:right w:val="nil"/>
            </w:tcBorders>
            <w:vAlign w:val="bottom"/>
          </w:tcPr>
          <w:p w:rsidR="00995160" w:rsidRPr="008B53E5" w:rsidRDefault="00995160" w:rsidP="00223B6D">
            <w:pPr>
              <w:widowControl w:val="0"/>
              <w:autoSpaceDE w:val="0"/>
              <w:autoSpaceDN w:val="0"/>
              <w:adjustRightInd w:val="0"/>
              <w:spacing w:line="276" w:lineRule="auto"/>
              <w:jc w:val="center"/>
              <w:rPr>
                <w:rFonts w:cs="Times New Roman"/>
                <w:iCs/>
                <w:color w:val="000000"/>
                <w:sz w:val="20"/>
                <w:lang w:val="en-US"/>
              </w:rPr>
            </w:pPr>
            <w:r w:rsidRPr="008B53E5">
              <w:rPr>
                <w:rFonts w:cs="Times New Roman"/>
                <w:iCs/>
                <w:color w:val="000000"/>
                <w:sz w:val="20"/>
                <w:lang w:val="en-US"/>
              </w:rPr>
              <w:t>(0.015)</w:t>
            </w:r>
          </w:p>
        </w:tc>
      </w:tr>
      <w:tr w:rsidR="00995160" w:rsidRPr="008B53E5" w:rsidTr="0073763C">
        <w:trPr>
          <w:trHeight w:val="93"/>
          <w:jc w:val="center"/>
        </w:trPr>
        <w:tc>
          <w:tcPr>
            <w:tcW w:w="1540" w:type="dxa"/>
            <w:tcBorders>
              <w:top w:val="nil"/>
              <w:left w:val="nil"/>
              <w:bottom w:val="single" w:sz="8" w:space="0" w:color="auto"/>
              <w:right w:val="single" w:sz="8" w:space="0" w:color="auto"/>
            </w:tcBorders>
            <w:vAlign w:val="bottom"/>
          </w:tcPr>
          <w:p w:rsidR="00995160" w:rsidRPr="008B53E5" w:rsidRDefault="00995160" w:rsidP="00223B6D">
            <w:pPr>
              <w:widowControl w:val="0"/>
              <w:autoSpaceDE w:val="0"/>
              <w:autoSpaceDN w:val="0"/>
              <w:adjustRightInd w:val="0"/>
              <w:spacing w:line="276" w:lineRule="auto"/>
              <w:rPr>
                <w:rFonts w:cs="Times New Roman"/>
                <w:sz w:val="20"/>
              </w:rPr>
            </w:pPr>
          </w:p>
        </w:tc>
        <w:tc>
          <w:tcPr>
            <w:tcW w:w="1060" w:type="dxa"/>
            <w:tcBorders>
              <w:top w:val="nil"/>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rPr>
                <w:rFonts w:cs="Times New Roman"/>
                <w:sz w:val="20"/>
              </w:rPr>
            </w:pPr>
          </w:p>
        </w:tc>
        <w:tc>
          <w:tcPr>
            <w:tcW w:w="1060" w:type="dxa"/>
            <w:tcBorders>
              <w:top w:val="nil"/>
              <w:left w:val="nil"/>
              <w:bottom w:val="single" w:sz="8" w:space="0" w:color="auto"/>
              <w:right w:val="single" w:sz="8" w:space="0" w:color="auto"/>
            </w:tcBorders>
            <w:vAlign w:val="bottom"/>
          </w:tcPr>
          <w:p w:rsidR="00995160" w:rsidRPr="008B53E5" w:rsidRDefault="00995160" w:rsidP="00223B6D">
            <w:pPr>
              <w:widowControl w:val="0"/>
              <w:autoSpaceDE w:val="0"/>
              <w:autoSpaceDN w:val="0"/>
              <w:adjustRightInd w:val="0"/>
              <w:spacing w:line="276" w:lineRule="auto"/>
              <w:rPr>
                <w:rFonts w:cs="Times New Roman"/>
                <w:sz w:val="20"/>
              </w:rPr>
            </w:pPr>
          </w:p>
        </w:tc>
        <w:tc>
          <w:tcPr>
            <w:tcW w:w="1060" w:type="dxa"/>
            <w:tcBorders>
              <w:top w:val="nil"/>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rPr>
                <w:rFonts w:cs="Times New Roman"/>
                <w:sz w:val="20"/>
              </w:rPr>
            </w:pPr>
          </w:p>
        </w:tc>
        <w:tc>
          <w:tcPr>
            <w:tcW w:w="1080" w:type="dxa"/>
            <w:tcBorders>
              <w:top w:val="nil"/>
              <w:left w:val="nil"/>
              <w:bottom w:val="single" w:sz="8" w:space="0" w:color="auto"/>
              <w:right w:val="nil"/>
            </w:tcBorders>
            <w:vAlign w:val="bottom"/>
          </w:tcPr>
          <w:p w:rsidR="00995160" w:rsidRPr="008B53E5" w:rsidRDefault="00995160" w:rsidP="00223B6D">
            <w:pPr>
              <w:widowControl w:val="0"/>
              <w:autoSpaceDE w:val="0"/>
              <w:autoSpaceDN w:val="0"/>
              <w:adjustRightInd w:val="0"/>
              <w:spacing w:line="276" w:lineRule="auto"/>
              <w:rPr>
                <w:rFonts w:cs="Times New Roman"/>
                <w:sz w:val="20"/>
              </w:rPr>
            </w:pPr>
          </w:p>
        </w:tc>
      </w:tr>
    </w:tbl>
    <w:p w:rsidR="00313188" w:rsidRDefault="00193812" w:rsidP="00223B6D">
      <w:pPr>
        <w:pStyle w:val="Nzev"/>
        <w:spacing w:line="276" w:lineRule="auto"/>
        <w:rPr>
          <w:lang w:val="en-US" w:eastAsia="de-DE"/>
        </w:rPr>
      </w:pPr>
      <w:r w:rsidRPr="00193812">
        <w:rPr>
          <w:lang w:val="en-US" w:eastAsia="de-DE"/>
        </w:rPr>
        <w:t xml:space="preserve">Note: Tobit and PSM-kernel matching estimates are provided. </w:t>
      </w:r>
      <w:proofErr w:type="gramStart"/>
      <w:r w:rsidRPr="00193812">
        <w:rPr>
          <w:lang w:val="en-US" w:eastAsia="de-DE"/>
        </w:rPr>
        <w:t>Standard errors in parentheses, but are not available for the ATE.</w:t>
      </w:r>
      <w:proofErr w:type="gramEnd"/>
      <w:r w:rsidRPr="00193812">
        <w:rPr>
          <w:lang w:val="en-US" w:eastAsia="de-DE"/>
        </w:rPr>
        <w:t xml:space="preserve"> Survey weights are used for Tobit estimation.</w:t>
      </w:r>
    </w:p>
    <w:p w:rsidR="00193812" w:rsidRPr="00193812" w:rsidRDefault="00193812"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 xml:space="preserve">Overall, I </w:t>
      </w:r>
      <w:r w:rsidR="00B41112">
        <w:rPr>
          <w:lang w:val="en-US" w:eastAsia="de-DE"/>
        </w:rPr>
        <w:t>fi</w:t>
      </w:r>
      <w:r w:rsidRPr="00313188">
        <w:rPr>
          <w:lang w:val="en-US" w:eastAsia="de-DE"/>
        </w:rPr>
        <w:t>nd that contactless payment has a positive impact on the spending ratio of credit and debit card POS payments, both of retail and services payments (see Table 9). Comparing the results of the OLS and PSM estimation leads to the</w:t>
      </w:r>
      <w:r>
        <w:rPr>
          <w:lang w:val="en-US" w:eastAsia="de-DE"/>
        </w:rPr>
        <w:t xml:space="preserve"> </w:t>
      </w:r>
      <w:r w:rsidRPr="00313188">
        <w:rPr>
          <w:lang w:val="en-US" w:eastAsia="de-DE"/>
        </w:rPr>
        <w:t>conclusion that self-selection into contactless</w:t>
      </w:r>
      <w:r w:rsidR="00B41112">
        <w:rPr>
          <w:lang w:val="en-US" w:eastAsia="de-DE"/>
        </w:rPr>
        <w:t xml:space="preserve"> payment is evident since the eff</w:t>
      </w:r>
      <w:r w:rsidRPr="00313188">
        <w:rPr>
          <w:lang w:val="en-US" w:eastAsia="de-DE"/>
        </w:rPr>
        <w:t xml:space="preserve">ects are throughout higher in the Tobit estimation (with the exception of the </w:t>
      </w:r>
      <w:proofErr w:type="spellStart"/>
      <w:r w:rsidRPr="00313188">
        <w:rPr>
          <w:lang w:val="en-US" w:eastAsia="de-DE"/>
        </w:rPr>
        <w:t>ATT</w:t>
      </w:r>
      <w:r w:rsidRPr="00B41112">
        <w:rPr>
          <w:vertAlign w:val="subscript"/>
          <w:lang w:val="en-US" w:eastAsia="de-DE"/>
        </w:rPr>
        <w:t>Tobit</w:t>
      </w:r>
      <w:proofErr w:type="spellEnd"/>
      <w:r w:rsidRPr="00313188">
        <w:rPr>
          <w:lang w:val="en-US" w:eastAsia="de-DE"/>
        </w:rPr>
        <w:t xml:space="preserve"> for credit card services payments). Henceforth, I focus on the discussion of the results of the PSM estimation with special attention on the ATT.</w:t>
      </w:r>
    </w:p>
    <w:p w:rsidR="00313188" w:rsidRPr="00313188" w:rsidRDefault="00313188" w:rsidP="00223B6D">
      <w:pPr>
        <w:spacing w:line="276" w:lineRule="auto"/>
        <w:rPr>
          <w:lang w:val="en-US" w:eastAsia="de-DE"/>
        </w:rPr>
      </w:pPr>
    </w:p>
    <w:p w:rsidR="00313188" w:rsidRDefault="00313188" w:rsidP="00223B6D">
      <w:pPr>
        <w:spacing w:line="276" w:lineRule="auto"/>
        <w:rPr>
          <w:lang w:val="en-US" w:eastAsia="de-DE"/>
        </w:rPr>
      </w:pPr>
      <w:r w:rsidRPr="00313188">
        <w:rPr>
          <w:lang w:val="en-US" w:eastAsia="de-DE"/>
        </w:rPr>
        <w:t xml:space="preserve">The results of </w:t>
      </w:r>
      <w:r w:rsidR="00B41112">
        <w:rPr>
          <w:lang w:val="en-US" w:eastAsia="de-DE"/>
        </w:rPr>
        <w:t>the ATT are statistically signifi</w:t>
      </w:r>
      <w:r w:rsidRPr="00313188">
        <w:rPr>
          <w:lang w:val="en-US" w:eastAsia="de-DE"/>
        </w:rPr>
        <w:t>cant except for debit card retail trans</w:t>
      </w:r>
      <w:r w:rsidR="00B41112">
        <w:rPr>
          <w:lang w:val="en-US" w:eastAsia="de-DE"/>
        </w:rPr>
        <w:t>actions (see Table 10 for signifi</w:t>
      </w:r>
      <w:r w:rsidRPr="00313188">
        <w:rPr>
          <w:lang w:val="en-US" w:eastAsia="de-DE"/>
        </w:rPr>
        <w:t>cance testing). The ATE and the ATT are very similar</w:t>
      </w:r>
      <w:r w:rsidR="00B41112">
        <w:rPr>
          <w:lang w:val="en-US" w:eastAsia="de-DE"/>
        </w:rPr>
        <w:t xml:space="preserve"> for credit cards while they diff</w:t>
      </w:r>
      <w:r w:rsidRPr="00313188">
        <w:rPr>
          <w:lang w:val="en-US" w:eastAsia="de-DE"/>
        </w:rPr>
        <w:t xml:space="preserve">er for debit cards with the ATT being less pronounced. The ATT of contactless credit cards on the </w:t>
      </w:r>
      <w:r w:rsidR="00B41112">
        <w:rPr>
          <w:lang w:val="en-US" w:eastAsia="de-DE"/>
        </w:rPr>
        <w:t>spending ratio is as</w:t>
      </w:r>
      <w:r w:rsidRPr="00313188">
        <w:rPr>
          <w:lang w:val="en-US" w:eastAsia="de-DE"/>
        </w:rPr>
        <w:t xml:space="preserve">sociated with an increase of 8.3 percent, of which 4.8 percent stem from retail and 3.5 percent from services payments, respectively. The ATT of contactless debit </w:t>
      </w:r>
      <w:r w:rsidR="00B41112">
        <w:rPr>
          <w:lang w:val="en-US" w:eastAsia="de-DE"/>
        </w:rPr>
        <w:t>cards is 10 percent while the eff</w:t>
      </w:r>
      <w:r w:rsidRPr="00313188">
        <w:rPr>
          <w:lang w:val="en-US" w:eastAsia="de-DE"/>
        </w:rPr>
        <w:t>ect is similar for retail and services payments (4.5 percent). The results imply that an average contactless credit card adopter, who makes roughly 17 credit card transactions at the POS within a month and with a spending ratio of 36 percent, increases the number of credit card transactions to approximately 21 payments under the assumpt</w:t>
      </w:r>
      <w:r w:rsidR="00B41112">
        <w:rPr>
          <w:lang w:val="en-US" w:eastAsia="de-DE"/>
        </w:rPr>
        <w:t>ion of constant overall POS pay</w:t>
      </w:r>
      <w:r w:rsidRPr="00313188">
        <w:rPr>
          <w:lang w:val="en-US" w:eastAsia="de-DE"/>
        </w:rPr>
        <w:t>ments. An average contactless debit card adopter with a spending ratio of around 48 percent and 24 monthly debit card payments r</w:t>
      </w:r>
      <w:r w:rsidR="008B53E5">
        <w:rPr>
          <w:lang w:val="en-US" w:eastAsia="de-DE"/>
        </w:rPr>
        <w:t>a</w:t>
      </w:r>
      <w:r w:rsidRPr="00313188">
        <w:rPr>
          <w:lang w:val="en-US" w:eastAsia="de-DE"/>
        </w:rPr>
        <w:t>ises the corresponding transaction volume by 5 transactions to 29 payments, holding total POS payments constant. Consequently, an average debit card innovator increases fee turnover of debit card issue</w:t>
      </w:r>
      <w:r w:rsidR="00B41112">
        <w:rPr>
          <w:lang w:val="en-US" w:eastAsia="de-DE"/>
        </w:rPr>
        <w:t>rs by roughly 7 USD per year.</w:t>
      </w:r>
      <w:r w:rsidR="00B41112">
        <w:rPr>
          <w:rStyle w:val="Znakapoznpodarou"/>
          <w:lang w:val="en-US" w:eastAsia="de-DE"/>
        </w:rPr>
        <w:footnoteReference w:id="21"/>
      </w:r>
    </w:p>
    <w:p w:rsidR="00313188" w:rsidRDefault="00313188" w:rsidP="00223B6D">
      <w:pPr>
        <w:spacing w:line="276" w:lineRule="auto"/>
        <w:rPr>
          <w:lang w:val="en-US" w:eastAsia="de-DE"/>
        </w:rPr>
      </w:pPr>
    </w:p>
    <w:p w:rsidR="00313188" w:rsidRDefault="00313188" w:rsidP="00223B6D">
      <w:pPr>
        <w:pStyle w:val="Nadpis2"/>
        <w:spacing w:line="276" w:lineRule="auto"/>
        <w:rPr>
          <w:lang w:val="en-US" w:eastAsia="de-DE"/>
        </w:rPr>
      </w:pPr>
      <w:r>
        <w:rPr>
          <w:lang w:val="en-US" w:eastAsia="de-DE"/>
        </w:rPr>
        <w:t>Sensitivity Analysis</w:t>
      </w:r>
    </w:p>
    <w:p w:rsidR="00313188" w:rsidRDefault="00313188" w:rsidP="00223B6D">
      <w:pPr>
        <w:spacing w:line="276" w:lineRule="auto"/>
        <w:rPr>
          <w:lang w:val="en-US" w:eastAsia="de-DE"/>
        </w:rPr>
      </w:pPr>
      <w:r w:rsidRPr="00313188">
        <w:rPr>
          <w:lang w:val="en-US" w:eastAsia="de-DE"/>
        </w:rPr>
        <w:t>Table 10 displays the results of the sensitivity analysis, which are provided by the Rosenbaum bounds. Since potential overest</w:t>
      </w:r>
      <w:r w:rsidR="002A35A5">
        <w:rPr>
          <w:lang w:val="en-US" w:eastAsia="de-DE"/>
        </w:rPr>
        <w:t>imation of the true treatment eff</w:t>
      </w:r>
      <w:r w:rsidRPr="00313188">
        <w:rPr>
          <w:lang w:val="en-US" w:eastAsia="de-DE"/>
        </w:rPr>
        <w:t>ects is suspected due to positive s</w:t>
      </w:r>
      <w:r w:rsidR="002A35A5">
        <w:rPr>
          <w:lang w:val="en-US" w:eastAsia="de-DE"/>
        </w:rPr>
        <w:t>election, the upper bound signifi</w:t>
      </w:r>
      <w:r w:rsidRPr="00313188">
        <w:rPr>
          <w:lang w:val="en-US" w:eastAsia="de-DE"/>
        </w:rPr>
        <w:t>cance levels are reported. The test statistics show</w:t>
      </w:r>
      <w:r w:rsidR="00DB6943">
        <w:rPr>
          <w:lang w:val="en-US" w:eastAsia="de-DE"/>
        </w:rPr>
        <w:t xml:space="preserve"> –</w:t>
      </w:r>
      <w:r w:rsidRPr="00313188">
        <w:rPr>
          <w:lang w:val="en-US" w:eastAsia="de-DE"/>
        </w:rPr>
        <w:t xml:space="preserve"> under the</w:t>
      </w:r>
      <w:r w:rsidR="002A35A5">
        <w:rPr>
          <w:lang w:val="en-US" w:eastAsia="de-DE"/>
        </w:rPr>
        <w:t xml:space="preserve"> assumption of no hidden bias (</w:t>
      </w:r>
      <w:r w:rsidRPr="00313188">
        <w:rPr>
          <w:lang w:val="en-US" w:eastAsia="de-DE"/>
        </w:rPr>
        <w:t xml:space="preserve">γ = 0 or </w:t>
      </w:r>
      <w:r w:rsidR="002A35A5">
        <w:rPr>
          <w:rFonts w:cs="Times New Roman"/>
          <w:lang w:val="en-US" w:eastAsia="de-DE"/>
        </w:rPr>
        <w:t>Γ</w:t>
      </w:r>
      <w:r w:rsidRPr="00313188">
        <w:rPr>
          <w:lang w:val="en-US" w:eastAsia="de-DE"/>
        </w:rPr>
        <w:t>= 1,</w:t>
      </w:r>
      <w:r w:rsidR="002A35A5">
        <w:rPr>
          <w:lang w:val="en-US" w:eastAsia="de-DE"/>
        </w:rPr>
        <w:t xml:space="preserve"> </w:t>
      </w:r>
      <w:r w:rsidRPr="00313188">
        <w:rPr>
          <w:lang w:val="en-US" w:eastAsia="de-DE"/>
        </w:rPr>
        <w:t>res</w:t>
      </w:r>
      <w:r w:rsidR="002A35A5">
        <w:rPr>
          <w:lang w:val="en-US" w:eastAsia="de-DE"/>
        </w:rPr>
        <w:t>pectively)</w:t>
      </w:r>
      <w:r w:rsidR="00DB6943">
        <w:rPr>
          <w:lang w:val="en-US" w:eastAsia="de-DE"/>
        </w:rPr>
        <w:t xml:space="preserve"> –</w:t>
      </w:r>
      <w:r w:rsidR="002A35A5">
        <w:rPr>
          <w:lang w:val="en-US" w:eastAsia="de-DE"/>
        </w:rPr>
        <w:t xml:space="preserve"> that the treatment effects are </w:t>
      </w:r>
      <w:r w:rsidR="002A35A5">
        <w:rPr>
          <w:lang w:val="en-US" w:eastAsia="de-DE"/>
        </w:rPr>
        <w:lastRenderedPageBreak/>
        <w:t>statistically signifi</w:t>
      </w:r>
      <w:r w:rsidRPr="00313188">
        <w:rPr>
          <w:lang w:val="en-US" w:eastAsia="de-DE"/>
        </w:rPr>
        <w:t xml:space="preserve">cant indicating that no selection bias occurs, i.e. those who </w:t>
      </w:r>
      <w:r w:rsidR="002A35A5">
        <w:rPr>
          <w:lang w:val="en-US" w:eastAsia="de-DE"/>
        </w:rPr>
        <w:t>have</w:t>
      </w:r>
      <w:r w:rsidRPr="00313188">
        <w:rPr>
          <w:lang w:val="en-US" w:eastAsia="de-DE"/>
        </w:rPr>
        <w:t xml:space="preserve"> a contactless feature do not have higher spending ratios even without participating with the exception </w:t>
      </w:r>
      <w:r w:rsidR="0021581F">
        <w:rPr>
          <w:lang w:val="en-US" w:eastAsia="de-DE"/>
        </w:rPr>
        <w:t>of debit card retail payments.</w:t>
      </w:r>
      <w:r w:rsidR="0021581F">
        <w:rPr>
          <w:rStyle w:val="Znakapoznpodarou"/>
          <w:lang w:val="en-US" w:eastAsia="de-DE"/>
        </w:rPr>
        <w:footnoteReference w:id="22"/>
      </w:r>
      <w:r w:rsidRPr="00313188">
        <w:rPr>
          <w:lang w:val="en-US" w:eastAsia="de-DE"/>
        </w:rPr>
        <w:t xml:space="preserve"> Further, the resu</w:t>
      </w:r>
      <w:r w:rsidR="008203F9">
        <w:rPr>
          <w:lang w:val="en-US" w:eastAsia="de-DE"/>
        </w:rPr>
        <w:t>lts reveal that the treatment eff</w:t>
      </w:r>
      <w:r w:rsidRPr="00313188">
        <w:rPr>
          <w:lang w:val="en-US" w:eastAsia="de-DE"/>
        </w:rPr>
        <w:t xml:space="preserve">ects for credit and debit card POS </w:t>
      </w:r>
      <w:r w:rsidR="008203F9">
        <w:rPr>
          <w:lang w:val="en-US" w:eastAsia="de-DE"/>
        </w:rPr>
        <w:t>payments are still signifi</w:t>
      </w:r>
      <w:r w:rsidRPr="00313188">
        <w:rPr>
          <w:lang w:val="en-US" w:eastAsia="de-DE"/>
        </w:rPr>
        <w:t>cant even if a confounding factor would alter the odds of the adoption of contactless credit cards (</w:t>
      </w:r>
      <w:r w:rsidR="008203F9">
        <w:rPr>
          <w:rFonts w:cs="Times New Roman"/>
          <w:lang w:val="en-US" w:eastAsia="de-DE"/>
        </w:rPr>
        <w:t>Γ</w:t>
      </w:r>
      <w:r w:rsidRPr="00313188">
        <w:rPr>
          <w:lang w:val="en-US" w:eastAsia="de-DE"/>
        </w:rPr>
        <w:t xml:space="preserve"> = 1.25) and debit</w:t>
      </w:r>
      <w:r w:rsidR="008203F9">
        <w:rPr>
          <w:lang w:val="en-US" w:eastAsia="de-DE"/>
        </w:rPr>
        <w:t xml:space="preserve"> cards (</w:t>
      </w:r>
      <w:r w:rsidR="008203F9">
        <w:rPr>
          <w:rFonts w:cs="Times New Roman"/>
          <w:lang w:val="en-US" w:eastAsia="de-DE"/>
        </w:rPr>
        <w:t>Γ</w:t>
      </w:r>
      <w:r w:rsidRPr="00313188">
        <w:rPr>
          <w:lang w:val="en-US" w:eastAsia="de-DE"/>
        </w:rPr>
        <w:t xml:space="preserve"> = 1.5). The upper bound Hodges-Lehman point estimates indicate that</w:t>
      </w:r>
      <w:r>
        <w:rPr>
          <w:lang w:val="en-US" w:eastAsia="de-DE"/>
        </w:rPr>
        <w:t xml:space="preserve"> </w:t>
      </w:r>
      <w:r w:rsidR="008203F9">
        <w:rPr>
          <w:lang w:val="en-US" w:eastAsia="de-DE"/>
        </w:rPr>
        <w:t xml:space="preserve">in case of </w:t>
      </w:r>
      <w:r w:rsidR="008203F9">
        <w:rPr>
          <w:rFonts w:cs="Times New Roman"/>
          <w:lang w:val="en-US" w:eastAsia="de-DE"/>
        </w:rPr>
        <w:t>Γ</w:t>
      </w:r>
      <w:r w:rsidR="008203F9">
        <w:rPr>
          <w:lang w:val="en-US" w:eastAsia="de-DE"/>
        </w:rPr>
        <w:t xml:space="preserve"> </w:t>
      </w:r>
      <w:r w:rsidRPr="00313188">
        <w:rPr>
          <w:lang w:val="en-US" w:eastAsia="de-DE"/>
        </w:rPr>
        <w:t xml:space="preserve">= 1.25, the treatment </w:t>
      </w:r>
      <w:r w:rsidR="008203F9">
        <w:rPr>
          <w:lang w:val="en-US" w:eastAsia="de-DE"/>
        </w:rPr>
        <w:t>eff</w:t>
      </w:r>
      <w:r w:rsidRPr="00313188">
        <w:rPr>
          <w:lang w:val="en-US" w:eastAsia="de-DE"/>
        </w:rPr>
        <w:t>ect for credit and debit card POS payments</w:t>
      </w:r>
      <w:r w:rsidR="008203F9">
        <w:rPr>
          <w:lang w:val="en-US" w:eastAsia="de-DE"/>
        </w:rPr>
        <w:t xml:space="preserve"> </w:t>
      </w:r>
      <w:r w:rsidRPr="00313188">
        <w:rPr>
          <w:lang w:val="en-US" w:eastAsia="de-DE"/>
        </w:rPr>
        <w:t>is still 4.7 and 7.4 percent, respectively.</w:t>
      </w:r>
    </w:p>
    <w:p w:rsidR="00C55138" w:rsidRDefault="00C55138" w:rsidP="00223B6D">
      <w:pPr>
        <w:spacing w:line="276" w:lineRule="auto"/>
        <w:rPr>
          <w:lang w:val="en-US" w:eastAsia="de-DE"/>
        </w:rPr>
      </w:pPr>
    </w:p>
    <w:p w:rsidR="00313188" w:rsidRPr="000F4CFB" w:rsidRDefault="000F4CFB" w:rsidP="00223B6D">
      <w:pPr>
        <w:pStyle w:val="Titulek"/>
        <w:spacing w:after="120" w:line="276" w:lineRule="auto"/>
        <w:rPr>
          <w:lang w:val="en-US" w:eastAsia="de-DE"/>
        </w:rPr>
      </w:pPr>
      <w:r w:rsidRPr="000F4CFB">
        <w:rPr>
          <w:lang w:val="en-US"/>
        </w:rPr>
        <w:t xml:space="preserve">Table </w:t>
      </w:r>
      <w:r w:rsidR="006A23B6">
        <w:fldChar w:fldCharType="begin"/>
      </w:r>
      <w:r w:rsidRPr="000F4CFB">
        <w:rPr>
          <w:lang w:val="en-US"/>
        </w:rPr>
        <w:instrText xml:space="preserve"> SEQ Table \* ARABIC </w:instrText>
      </w:r>
      <w:r w:rsidR="006A23B6">
        <w:fldChar w:fldCharType="separate"/>
      </w:r>
      <w:r w:rsidR="00E45C4F">
        <w:rPr>
          <w:noProof/>
          <w:lang w:val="en-US"/>
        </w:rPr>
        <w:t>10</w:t>
      </w:r>
      <w:r w:rsidR="006A23B6">
        <w:fldChar w:fldCharType="end"/>
      </w:r>
      <w:r w:rsidRPr="000F4CFB">
        <w:rPr>
          <w:lang w:val="en-US"/>
        </w:rPr>
        <w:t>: Rosenbaum Bounds</w:t>
      </w:r>
      <w:r>
        <w:rPr>
          <w:lang w:val="en-US"/>
        </w:rPr>
        <w:t xml:space="preserve"> Sensitivity Analysis and Signifi</w:t>
      </w:r>
      <w:r w:rsidRPr="000F4CFB">
        <w:rPr>
          <w:lang w:val="en-US"/>
        </w:rPr>
        <w:t>cance Test</w:t>
      </w:r>
    </w:p>
    <w:tbl>
      <w:tblPr>
        <w:tblW w:w="0" w:type="auto"/>
        <w:jc w:val="center"/>
        <w:tblLayout w:type="fixed"/>
        <w:tblCellMar>
          <w:left w:w="0" w:type="dxa"/>
          <w:right w:w="0" w:type="dxa"/>
        </w:tblCellMar>
        <w:tblLook w:val="0000"/>
      </w:tblPr>
      <w:tblGrid>
        <w:gridCol w:w="1560"/>
        <w:gridCol w:w="700"/>
        <w:gridCol w:w="720"/>
        <w:gridCol w:w="780"/>
        <w:gridCol w:w="760"/>
        <w:gridCol w:w="840"/>
        <w:gridCol w:w="1700"/>
      </w:tblGrid>
      <w:tr w:rsidR="004F3CF5" w:rsidRPr="004F3CF5" w:rsidTr="0073763C">
        <w:trPr>
          <w:trHeight w:val="247"/>
          <w:jc w:val="center"/>
        </w:trPr>
        <w:tc>
          <w:tcPr>
            <w:tcW w:w="1560" w:type="dxa"/>
            <w:tcBorders>
              <w:top w:val="single" w:sz="8" w:space="0" w:color="auto"/>
              <w:left w:val="nil"/>
              <w:bottom w:val="single" w:sz="8" w:space="0" w:color="auto"/>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1</w:t>
            </w:r>
          </w:p>
        </w:tc>
        <w:tc>
          <w:tcPr>
            <w:tcW w:w="72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1.25</w:t>
            </w:r>
          </w:p>
        </w:tc>
        <w:tc>
          <w:tcPr>
            <w:tcW w:w="78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1.5</w:t>
            </w:r>
          </w:p>
        </w:tc>
        <w:tc>
          <w:tcPr>
            <w:tcW w:w="76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1.75</w:t>
            </w:r>
          </w:p>
        </w:tc>
        <w:tc>
          <w:tcPr>
            <w:tcW w:w="84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2</w:t>
            </w:r>
          </w:p>
        </w:tc>
        <w:tc>
          <w:tcPr>
            <w:tcW w:w="1700" w:type="dxa"/>
            <w:tcBorders>
              <w:top w:val="single" w:sz="8" w:space="0" w:color="auto"/>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 xml:space="preserve">Std. </w:t>
            </w:r>
            <w:proofErr w:type="spellStart"/>
            <w:r w:rsidRPr="004F3CF5">
              <w:rPr>
                <w:rFonts w:cs="Times New Roman"/>
                <w:iCs/>
                <w:color w:val="000000"/>
                <w:sz w:val="20"/>
                <w:lang w:val="en-US"/>
              </w:rPr>
              <w:t>Err.</w:t>
            </w:r>
            <w:r w:rsidRPr="004F3CF5">
              <w:rPr>
                <w:rFonts w:cs="Times New Roman"/>
                <w:iCs/>
                <w:color w:val="000000"/>
                <w:sz w:val="20"/>
                <w:vertAlign w:val="subscript"/>
                <w:lang w:val="en-US"/>
              </w:rPr>
              <w:t>ATTPSM</w:t>
            </w:r>
            <w:proofErr w:type="spellEnd"/>
          </w:p>
        </w:tc>
      </w:tr>
      <w:tr w:rsidR="004F3CF5" w:rsidRPr="004F3CF5" w:rsidTr="0073763C">
        <w:trPr>
          <w:trHeight w:val="208"/>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r w:rsidRPr="004F3CF5">
              <w:rPr>
                <w:rFonts w:cs="Times New Roman"/>
                <w:iCs/>
                <w:color w:val="000000"/>
                <w:sz w:val="20"/>
                <w:lang w:val="en-US"/>
              </w:rPr>
              <w:t>CC POS</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0.001</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0.038</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0.206</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0.494</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0.752</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0.045**</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(0.078)</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(0.047)</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(0.023)</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(0.000)</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(-0.021)</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313"/>
          <w:jc w:val="center"/>
        </w:trPr>
        <w:tc>
          <w:tcPr>
            <w:tcW w:w="1560" w:type="dxa"/>
            <w:tcBorders>
              <w:top w:val="nil"/>
              <w:left w:val="nil"/>
              <w:bottom w:val="nil"/>
              <w:right w:val="single" w:sz="8" w:space="0" w:color="auto"/>
            </w:tcBorders>
            <w:vAlign w:val="bottom"/>
          </w:tcPr>
          <w:p w:rsidR="004F3CF5" w:rsidRPr="004F3CF5" w:rsidRDefault="00FD4832" w:rsidP="00223B6D">
            <w:pPr>
              <w:widowControl w:val="0"/>
              <w:autoSpaceDE w:val="0"/>
              <w:autoSpaceDN w:val="0"/>
              <w:adjustRightInd w:val="0"/>
              <w:spacing w:line="276" w:lineRule="auto"/>
              <w:jc w:val="left"/>
              <w:rPr>
                <w:rFonts w:cs="Times New Roman"/>
                <w:iCs/>
                <w:color w:val="000000"/>
                <w:sz w:val="20"/>
                <w:lang w:val="en-US"/>
              </w:rPr>
            </w:pPr>
            <w:r>
              <w:rPr>
                <w:rFonts w:cs="Times New Roman"/>
                <w:iCs/>
                <w:color w:val="000000"/>
                <w:sz w:val="20"/>
                <w:lang w:val="en-US"/>
              </w:rPr>
              <w:t xml:space="preserve">   </w:t>
            </w:r>
            <w:r w:rsidR="004F3CF5" w:rsidRPr="004F3CF5">
              <w:rPr>
                <w:rFonts w:cs="Times New Roman"/>
                <w:iCs/>
                <w:color w:val="000000"/>
                <w:sz w:val="20"/>
                <w:lang w:val="en-US"/>
              </w:rPr>
              <w:t>CC Retail</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0.026</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0.229</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0.591</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0.854</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0.962</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0.019***</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(0.035)</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(0.014)</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(-0.005)</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(-0.021)</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(-0.033)</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313"/>
          <w:jc w:val="center"/>
        </w:trPr>
        <w:tc>
          <w:tcPr>
            <w:tcW w:w="1560" w:type="dxa"/>
            <w:tcBorders>
              <w:top w:val="nil"/>
              <w:left w:val="nil"/>
              <w:bottom w:val="nil"/>
              <w:right w:val="single" w:sz="8" w:space="0" w:color="auto"/>
            </w:tcBorders>
            <w:vAlign w:val="bottom"/>
          </w:tcPr>
          <w:p w:rsidR="004F3CF5" w:rsidRPr="004F3CF5" w:rsidRDefault="00FD4832" w:rsidP="00223B6D">
            <w:pPr>
              <w:widowControl w:val="0"/>
              <w:autoSpaceDE w:val="0"/>
              <w:autoSpaceDN w:val="0"/>
              <w:adjustRightInd w:val="0"/>
              <w:spacing w:line="276" w:lineRule="auto"/>
              <w:jc w:val="left"/>
              <w:rPr>
                <w:rFonts w:cs="Times New Roman"/>
                <w:iCs/>
                <w:color w:val="000000"/>
                <w:sz w:val="20"/>
                <w:lang w:val="en-US"/>
              </w:rPr>
            </w:pPr>
            <w:r>
              <w:rPr>
                <w:rFonts w:cs="Times New Roman"/>
                <w:iCs/>
                <w:color w:val="000000"/>
                <w:sz w:val="20"/>
                <w:lang w:val="en-US"/>
              </w:rPr>
              <w:t xml:space="preserve">   </w:t>
            </w:r>
            <w:r w:rsidR="004F3CF5" w:rsidRPr="004F3CF5">
              <w:rPr>
                <w:rFonts w:cs="Times New Roman"/>
                <w:iCs/>
                <w:color w:val="000000"/>
                <w:sz w:val="20"/>
                <w:lang w:val="en-US"/>
              </w:rPr>
              <w:t>CC Services</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0.059</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0.356</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0.726</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0.923</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0.984</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0.014**</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(0.021)</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(0.005)</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(-0.009)</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(-0.018)</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(-0.027)</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313"/>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r w:rsidRPr="004F3CF5">
              <w:rPr>
                <w:rFonts w:cs="Times New Roman"/>
                <w:iCs/>
                <w:color w:val="000000"/>
                <w:sz w:val="20"/>
                <w:lang w:val="en-US"/>
              </w:rPr>
              <w:t>DC POS</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0.000</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0.008</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0.061</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0.206</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0.423</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0.032***</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(0.106)</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(0.074)</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(0.048)</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(0.024)</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(0.005)</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313"/>
          <w:jc w:val="center"/>
        </w:trPr>
        <w:tc>
          <w:tcPr>
            <w:tcW w:w="1560" w:type="dxa"/>
            <w:tcBorders>
              <w:top w:val="nil"/>
              <w:left w:val="nil"/>
              <w:bottom w:val="nil"/>
              <w:right w:val="single" w:sz="8" w:space="0" w:color="auto"/>
            </w:tcBorders>
            <w:vAlign w:val="bottom"/>
          </w:tcPr>
          <w:p w:rsidR="004F3CF5" w:rsidRPr="004F3CF5" w:rsidRDefault="00FD4832" w:rsidP="00223B6D">
            <w:pPr>
              <w:widowControl w:val="0"/>
              <w:autoSpaceDE w:val="0"/>
              <w:autoSpaceDN w:val="0"/>
              <w:adjustRightInd w:val="0"/>
              <w:spacing w:line="276" w:lineRule="auto"/>
              <w:jc w:val="left"/>
              <w:rPr>
                <w:rFonts w:cs="Times New Roman"/>
                <w:iCs/>
                <w:color w:val="000000"/>
                <w:sz w:val="20"/>
                <w:lang w:val="en-US"/>
              </w:rPr>
            </w:pPr>
            <w:r>
              <w:rPr>
                <w:rFonts w:cs="Times New Roman"/>
                <w:iCs/>
                <w:color w:val="000000"/>
                <w:sz w:val="20"/>
                <w:lang w:val="en-US"/>
              </w:rPr>
              <w:t xml:space="preserve">   </w:t>
            </w:r>
            <w:r w:rsidR="004F3CF5" w:rsidRPr="004F3CF5">
              <w:rPr>
                <w:rFonts w:cs="Times New Roman"/>
                <w:iCs/>
                <w:color w:val="000000"/>
                <w:sz w:val="20"/>
                <w:lang w:val="en-US"/>
              </w:rPr>
              <w:t>DC Retail</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0.124</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0.483</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0.807</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0.949</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0.990</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0.036</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(0.025)</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(0.001)</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(-0.017)</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(-0.033)</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(-0.046)</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313"/>
          <w:jc w:val="center"/>
        </w:trPr>
        <w:tc>
          <w:tcPr>
            <w:tcW w:w="1560" w:type="dxa"/>
            <w:tcBorders>
              <w:top w:val="nil"/>
              <w:left w:val="nil"/>
              <w:bottom w:val="nil"/>
              <w:right w:val="single" w:sz="8" w:space="0" w:color="auto"/>
            </w:tcBorders>
            <w:vAlign w:val="bottom"/>
          </w:tcPr>
          <w:p w:rsidR="004F3CF5" w:rsidRPr="004F3CF5" w:rsidRDefault="00FD4832" w:rsidP="00223B6D">
            <w:pPr>
              <w:widowControl w:val="0"/>
              <w:autoSpaceDE w:val="0"/>
              <w:autoSpaceDN w:val="0"/>
              <w:adjustRightInd w:val="0"/>
              <w:spacing w:line="276" w:lineRule="auto"/>
              <w:jc w:val="left"/>
              <w:rPr>
                <w:rFonts w:cs="Times New Roman"/>
                <w:iCs/>
                <w:color w:val="000000"/>
                <w:sz w:val="20"/>
                <w:lang w:val="en-US"/>
              </w:rPr>
            </w:pPr>
            <w:r>
              <w:rPr>
                <w:rFonts w:cs="Times New Roman"/>
                <w:iCs/>
                <w:color w:val="000000"/>
                <w:sz w:val="20"/>
                <w:lang w:val="en-US"/>
              </w:rPr>
              <w:t xml:space="preserve">   </w:t>
            </w:r>
            <w:r w:rsidR="004F3CF5" w:rsidRPr="004F3CF5">
              <w:rPr>
                <w:rFonts w:cs="Times New Roman"/>
                <w:iCs/>
                <w:color w:val="000000"/>
                <w:sz w:val="20"/>
                <w:lang w:val="en-US"/>
              </w:rPr>
              <w:t>DC Services</w:t>
            </w: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0.005</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0.074</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0.288</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0.575</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0.798</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0.078***</w:t>
            </w:r>
          </w:p>
        </w:tc>
      </w:tr>
      <w:tr w:rsidR="004F3CF5" w:rsidRPr="004F3CF5" w:rsidTr="0073763C">
        <w:trPr>
          <w:trHeight w:val="165"/>
          <w:jc w:val="center"/>
        </w:trPr>
        <w:tc>
          <w:tcPr>
            <w:tcW w:w="156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(0.037)</w:t>
            </w:r>
          </w:p>
        </w:tc>
        <w:tc>
          <w:tcPr>
            <w:tcW w:w="72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(0.020)</w:t>
            </w:r>
          </w:p>
        </w:tc>
        <w:tc>
          <w:tcPr>
            <w:tcW w:w="78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(0.007)</w:t>
            </w:r>
          </w:p>
        </w:tc>
        <w:tc>
          <w:tcPr>
            <w:tcW w:w="76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(-0.003)</w:t>
            </w:r>
          </w:p>
        </w:tc>
        <w:tc>
          <w:tcPr>
            <w:tcW w:w="840" w:type="dxa"/>
            <w:tcBorders>
              <w:top w:val="nil"/>
              <w:left w:val="nil"/>
              <w:bottom w:val="nil"/>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r w:rsidRPr="004F3CF5">
              <w:rPr>
                <w:rFonts w:cs="Times New Roman"/>
                <w:iCs/>
                <w:color w:val="000000"/>
                <w:sz w:val="20"/>
                <w:lang w:val="en-US"/>
              </w:rPr>
              <w:t>(-0.011)</w:t>
            </w:r>
          </w:p>
        </w:tc>
        <w:tc>
          <w:tcPr>
            <w:tcW w:w="1700" w:type="dxa"/>
            <w:tcBorders>
              <w:top w:val="nil"/>
              <w:left w:val="nil"/>
              <w:bottom w:val="nil"/>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r w:rsidR="004F3CF5" w:rsidRPr="004F3CF5" w:rsidTr="0073763C">
        <w:trPr>
          <w:trHeight w:val="93"/>
          <w:jc w:val="center"/>
        </w:trPr>
        <w:tc>
          <w:tcPr>
            <w:tcW w:w="1560" w:type="dxa"/>
            <w:tcBorders>
              <w:top w:val="nil"/>
              <w:left w:val="nil"/>
              <w:bottom w:val="single" w:sz="8" w:space="0" w:color="auto"/>
              <w:right w:val="single" w:sz="8" w:space="0" w:color="auto"/>
            </w:tcBorders>
            <w:vAlign w:val="bottom"/>
          </w:tcPr>
          <w:p w:rsidR="004F3CF5" w:rsidRPr="004F3CF5" w:rsidRDefault="004F3CF5" w:rsidP="00223B6D">
            <w:pPr>
              <w:widowControl w:val="0"/>
              <w:autoSpaceDE w:val="0"/>
              <w:autoSpaceDN w:val="0"/>
              <w:adjustRightInd w:val="0"/>
              <w:spacing w:line="276" w:lineRule="auto"/>
              <w:jc w:val="left"/>
              <w:rPr>
                <w:rFonts w:cs="Times New Roman"/>
                <w:iCs/>
                <w:color w:val="000000"/>
                <w:sz w:val="20"/>
                <w:lang w:val="en-US"/>
              </w:rPr>
            </w:pPr>
          </w:p>
        </w:tc>
        <w:tc>
          <w:tcPr>
            <w:tcW w:w="700" w:type="dxa"/>
            <w:tcBorders>
              <w:top w:val="nil"/>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c>
          <w:tcPr>
            <w:tcW w:w="720" w:type="dxa"/>
            <w:tcBorders>
              <w:top w:val="nil"/>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c>
          <w:tcPr>
            <w:tcW w:w="780" w:type="dxa"/>
            <w:tcBorders>
              <w:top w:val="nil"/>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c>
          <w:tcPr>
            <w:tcW w:w="760" w:type="dxa"/>
            <w:tcBorders>
              <w:top w:val="nil"/>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c>
          <w:tcPr>
            <w:tcW w:w="840" w:type="dxa"/>
            <w:tcBorders>
              <w:top w:val="nil"/>
              <w:left w:val="nil"/>
              <w:bottom w:val="single" w:sz="8" w:space="0" w:color="auto"/>
              <w:right w:val="single" w:sz="8" w:space="0" w:color="auto"/>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c>
          <w:tcPr>
            <w:tcW w:w="1700" w:type="dxa"/>
            <w:tcBorders>
              <w:top w:val="nil"/>
              <w:left w:val="nil"/>
              <w:bottom w:val="single" w:sz="8" w:space="0" w:color="auto"/>
              <w:right w:val="nil"/>
            </w:tcBorders>
            <w:vAlign w:val="bottom"/>
          </w:tcPr>
          <w:p w:rsidR="004F3CF5" w:rsidRPr="004F3CF5" w:rsidRDefault="004F3CF5" w:rsidP="00223B6D">
            <w:pPr>
              <w:widowControl w:val="0"/>
              <w:autoSpaceDE w:val="0"/>
              <w:autoSpaceDN w:val="0"/>
              <w:adjustRightInd w:val="0"/>
              <w:spacing w:line="276" w:lineRule="auto"/>
              <w:jc w:val="center"/>
              <w:rPr>
                <w:rFonts w:cs="Times New Roman"/>
                <w:iCs/>
                <w:color w:val="000000"/>
                <w:sz w:val="20"/>
                <w:lang w:val="en-US"/>
              </w:rPr>
            </w:pPr>
          </w:p>
        </w:tc>
      </w:tr>
    </w:tbl>
    <w:p w:rsidR="00313188" w:rsidRDefault="000F4CFB" w:rsidP="00223B6D">
      <w:pPr>
        <w:pStyle w:val="Nzev"/>
        <w:spacing w:line="276" w:lineRule="auto"/>
        <w:rPr>
          <w:lang w:val="en-US" w:eastAsia="de-DE"/>
        </w:rPr>
      </w:pPr>
      <w:r>
        <w:rPr>
          <w:lang w:val="en-US" w:eastAsia="de-DE"/>
        </w:rPr>
        <w:t>Note: Upper bound signifi</w:t>
      </w:r>
      <w:r w:rsidRPr="000F4CFB">
        <w:rPr>
          <w:lang w:val="en-US" w:eastAsia="de-DE"/>
        </w:rPr>
        <w:t>cance levels are displayed (p-values). Upper bound Hodges-Lehman point estimates are in</w:t>
      </w:r>
      <w:r>
        <w:rPr>
          <w:lang w:val="en-US" w:eastAsia="de-DE"/>
        </w:rPr>
        <w:t xml:space="preserve"> </w:t>
      </w:r>
      <w:r w:rsidRPr="000F4CFB">
        <w:rPr>
          <w:lang w:val="en-US" w:eastAsia="de-DE"/>
        </w:rPr>
        <w:t>parentheses. Standard errors for the PSM estimation of the ATT are calculated using 100 bootstrap replications taking into account the propensity score while for the ATE it is not applicable</w:t>
      </w:r>
      <w:r>
        <w:rPr>
          <w:lang w:val="en-US" w:eastAsia="de-DE"/>
        </w:rPr>
        <w:t>.</w:t>
      </w:r>
    </w:p>
    <w:p w:rsidR="007D72F8" w:rsidRPr="007D72F8" w:rsidRDefault="007D72F8" w:rsidP="007D72F8">
      <w:pPr>
        <w:rPr>
          <w:lang w:val="en-US" w:eastAsia="de-DE"/>
        </w:rPr>
      </w:pPr>
    </w:p>
    <w:p w:rsidR="00313188" w:rsidRDefault="00313188" w:rsidP="00223B6D">
      <w:pPr>
        <w:pStyle w:val="Nadpis1"/>
        <w:spacing w:line="276" w:lineRule="auto"/>
        <w:rPr>
          <w:lang w:val="en-US" w:eastAsia="de-DE"/>
        </w:rPr>
      </w:pPr>
      <w:r>
        <w:rPr>
          <w:lang w:val="en-US" w:eastAsia="de-DE"/>
        </w:rPr>
        <w:t>Conclusion</w:t>
      </w:r>
    </w:p>
    <w:p w:rsidR="00313188" w:rsidRPr="00313188" w:rsidRDefault="00313188" w:rsidP="00223B6D">
      <w:pPr>
        <w:spacing w:line="276" w:lineRule="auto"/>
        <w:rPr>
          <w:lang w:val="en-US" w:eastAsia="de-DE"/>
        </w:rPr>
      </w:pPr>
      <w:r w:rsidRPr="00313188">
        <w:rPr>
          <w:lang w:val="en-US" w:eastAsia="de-DE"/>
        </w:rPr>
        <w:t>The aim of this</w:t>
      </w:r>
      <w:r w:rsidR="006E5A9A">
        <w:rPr>
          <w:lang w:val="en-US" w:eastAsia="de-DE"/>
        </w:rPr>
        <w:t xml:space="preserve"> paper was to investigate the eff</w:t>
      </w:r>
      <w:r w:rsidRPr="00313188">
        <w:rPr>
          <w:lang w:val="en-US" w:eastAsia="de-DE"/>
        </w:rPr>
        <w:t xml:space="preserve">ect of contactless payment on spending </w:t>
      </w:r>
      <w:r w:rsidR="006E5A9A">
        <w:rPr>
          <w:lang w:val="en-US" w:eastAsia="de-DE"/>
        </w:rPr>
        <w:t>in terms of transactions for diff</w:t>
      </w:r>
      <w:r w:rsidRPr="00313188">
        <w:rPr>
          <w:lang w:val="en-US" w:eastAsia="de-DE"/>
        </w:rPr>
        <w:t>erent transaction types at the point-of-sale using a comprehensive US data set (SCPC). Controlling for selection into treatment by propensity score matching, my analysis reveals that recent retail payment innovation such as contactless credit and debit cards lead to an increase in the spending ratio by roughly 8 and 10 percent for credit and debit cards, respectively. The results are insensitive to any hidden bias.</w:t>
      </w:r>
    </w:p>
    <w:p w:rsidR="00313188" w:rsidRPr="00313188" w:rsidRDefault="00313188"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 xml:space="preserve">The results provide evidence that faster and more convenient payment products that can be deployed at the POS such as contactless payment induce individuals to undertake more frequent transactions. These </w:t>
      </w:r>
      <w:r w:rsidR="006E5A9A">
        <w:rPr>
          <w:lang w:val="en-US" w:eastAsia="de-DE"/>
        </w:rPr>
        <w:t>findings give advice for contact</w:t>
      </w:r>
      <w:r w:rsidRPr="00313188">
        <w:rPr>
          <w:lang w:val="en-US" w:eastAsia="de-DE"/>
        </w:rPr>
        <w:t>less card issuers to actively promote the payment pro</w:t>
      </w:r>
      <w:r w:rsidR="006E5A9A">
        <w:rPr>
          <w:lang w:val="en-US" w:eastAsia="de-DE"/>
        </w:rPr>
        <w:t>duct and thus accelerate the diff</w:t>
      </w:r>
      <w:r w:rsidRPr="00313188">
        <w:rPr>
          <w:lang w:val="en-US" w:eastAsia="de-DE"/>
        </w:rPr>
        <w:t xml:space="preserve">usion process, which </w:t>
      </w:r>
      <w:r w:rsidR="006E5A9A">
        <w:rPr>
          <w:lang w:val="en-US" w:eastAsia="de-DE"/>
        </w:rPr>
        <w:t>fi</w:t>
      </w:r>
      <w:r w:rsidRPr="00313188">
        <w:rPr>
          <w:lang w:val="en-US" w:eastAsia="de-DE"/>
        </w:rPr>
        <w:t>nally is expected to lead to increasing revenue streams. Also, they show that policy makers should pay a</w:t>
      </w:r>
      <w:r w:rsidR="006E5A9A">
        <w:rPr>
          <w:lang w:val="en-US" w:eastAsia="de-DE"/>
        </w:rPr>
        <w:t>ttention on regular market moni</w:t>
      </w:r>
      <w:r w:rsidRPr="00313188">
        <w:rPr>
          <w:lang w:val="en-US" w:eastAsia="de-DE"/>
        </w:rPr>
        <w:t xml:space="preserve">toring to ensure balanced fee structures in the payment market, as more frequent transactions put higher burdens on shop owners. Under the current interchange fee structure, for </w:t>
      </w:r>
      <w:r w:rsidRPr="00313188">
        <w:rPr>
          <w:lang w:val="en-US" w:eastAsia="de-DE"/>
        </w:rPr>
        <w:lastRenderedPageBreak/>
        <w:t>instance, incremented costs for merchants due to more frequent debit card usage cannot be compensated by the reduction in costs due to faster checkout.</w:t>
      </w:r>
      <w:r w:rsidR="006E5A9A">
        <w:rPr>
          <w:rStyle w:val="Znakapoznpodarou"/>
          <w:lang w:val="en-US" w:eastAsia="de-DE"/>
        </w:rPr>
        <w:footnoteReference w:id="23"/>
      </w:r>
    </w:p>
    <w:p w:rsidR="00313188" w:rsidRPr="00313188" w:rsidRDefault="00313188" w:rsidP="00223B6D">
      <w:pPr>
        <w:spacing w:line="276" w:lineRule="auto"/>
        <w:rPr>
          <w:lang w:val="en-US" w:eastAsia="de-DE"/>
        </w:rPr>
      </w:pPr>
    </w:p>
    <w:p w:rsidR="00313188" w:rsidRPr="00313188" w:rsidRDefault="00313188" w:rsidP="00223B6D">
      <w:pPr>
        <w:spacing w:line="276" w:lineRule="auto"/>
        <w:rPr>
          <w:lang w:val="en-US" w:eastAsia="de-DE"/>
        </w:rPr>
      </w:pPr>
      <w:r w:rsidRPr="00313188">
        <w:rPr>
          <w:lang w:val="en-US" w:eastAsia="de-DE"/>
        </w:rPr>
        <w:t xml:space="preserve">The analysis faces several limitations. First, the major downside of the data set entails the absence of information on the exact spending in terms of volume and value of contactless devices. It only reports their adoption rate. In fact, there may </w:t>
      </w:r>
      <w:proofErr w:type="gramStart"/>
      <w:r w:rsidRPr="00313188">
        <w:rPr>
          <w:lang w:val="en-US" w:eastAsia="de-DE"/>
        </w:rPr>
        <w:t>exist</w:t>
      </w:r>
      <w:proofErr w:type="gramEnd"/>
      <w:r w:rsidRPr="00313188">
        <w:rPr>
          <w:lang w:val="en-US" w:eastAsia="de-DE"/>
        </w:rPr>
        <w:t xml:space="preserve"> tw</w:t>
      </w:r>
      <w:r w:rsidR="006E5A9A">
        <w:rPr>
          <w:lang w:val="en-US" w:eastAsia="de-DE"/>
        </w:rPr>
        <w:t>o diff</w:t>
      </w:r>
      <w:r w:rsidRPr="00313188">
        <w:rPr>
          <w:lang w:val="en-US" w:eastAsia="de-DE"/>
        </w:rPr>
        <w:t xml:space="preserve">erent and independent processes determining the adoption in the </w:t>
      </w:r>
      <w:r w:rsidR="006E5A9A">
        <w:rPr>
          <w:lang w:val="en-US" w:eastAsia="de-DE"/>
        </w:rPr>
        <w:t>fi</w:t>
      </w:r>
      <w:r w:rsidRPr="00313188">
        <w:rPr>
          <w:lang w:val="en-US" w:eastAsia="de-DE"/>
        </w:rPr>
        <w:t>rst and the usage of contactless payment in the second stage. For instance, contactless payment adopters could never use the technology, but instead pay more frequently by conventional payment cards than those who do not possess a contactless card, resulting in a possible overes</w:t>
      </w:r>
      <w:r w:rsidR="006E5A9A">
        <w:rPr>
          <w:lang w:val="en-US" w:eastAsia="de-DE"/>
        </w:rPr>
        <w:t>timation of the corresponding eff</w:t>
      </w:r>
      <w:r w:rsidRPr="00313188">
        <w:rPr>
          <w:lang w:val="en-US" w:eastAsia="de-DE"/>
        </w:rPr>
        <w:t>ect. Payment diaries</w:t>
      </w:r>
      <w:r>
        <w:rPr>
          <w:lang w:val="en-US" w:eastAsia="de-DE"/>
        </w:rPr>
        <w:t xml:space="preserve"> </w:t>
      </w:r>
      <w:r w:rsidRPr="00313188">
        <w:rPr>
          <w:lang w:val="en-US" w:eastAsia="de-DE"/>
        </w:rPr>
        <w:t>that report each transaction in detail would help to obtain more accura</w:t>
      </w:r>
      <w:r w:rsidR="006E5A9A">
        <w:rPr>
          <w:lang w:val="en-US" w:eastAsia="de-DE"/>
        </w:rPr>
        <w:t>te results. Additionally, the eff</w:t>
      </w:r>
      <w:r w:rsidRPr="00313188">
        <w:rPr>
          <w:lang w:val="en-US" w:eastAsia="de-DE"/>
        </w:rPr>
        <w:t>ect on value spending could then be investigated.</w:t>
      </w:r>
    </w:p>
    <w:p w:rsidR="00313188" w:rsidRPr="00313188" w:rsidRDefault="00313188" w:rsidP="00223B6D">
      <w:pPr>
        <w:spacing w:line="276" w:lineRule="auto"/>
        <w:rPr>
          <w:lang w:val="en-US" w:eastAsia="de-DE"/>
        </w:rPr>
      </w:pPr>
    </w:p>
    <w:p w:rsidR="00313188" w:rsidRDefault="00313188" w:rsidP="00223B6D">
      <w:pPr>
        <w:spacing w:line="276" w:lineRule="auto"/>
        <w:rPr>
          <w:lang w:val="en-US" w:eastAsia="de-DE"/>
        </w:rPr>
      </w:pPr>
      <w:r w:rsidRPr="00313188">
        <w:rPr>
          <w:lang w:val="en-US" w:eastAsia="de-DE"/>
        </w:rPr>
        <w:t>Second</w:t>
      </w:r>
      <w:r w:rsidR="00213943">
        <w:rPr>
          <w:lang w:val="en-US" w:eastAsia="de-DE"/>
        </w:rPr>
        <w:t>ly</w:t>
      </w:r>
      <w:r w:rsidRPr="00313188">
        <w:rPr>
          <w:lang w:val="en-US" w:eastAsia="de-DE"/>
        </w:rPr>
        <w:t>, the data set does not obtain supply-side factors that obviously play a crucial role in the context of individual payment preferences. In this sense, the question raises how generalizable the setting of the empirical study and the results are. There are majo</w:t>
      </w:r>
      <w:r w:rsidR="006E5A9A">
        <w:rPr>
          <w:lang w:val="en-US" w:eastAsia="de-DE"/>
        </w:rPr>
        <w:t>r cultural and institutional diff</w:t>
      </w:r>
      <w:r w:rsidRPr="00313188">
        <w:rPr>
          <w:lang w:val="en-US" w:eastAsia="de-DE"/>
        </w:rPr>
        <w:t xml:space="preserve">erences between the US and European payment composition at present stemming from history. High actual payment card usage in the US can be traced back to the historical reliance on check use in conjunction with an undeveloped </w:t>
      </w:r>
      <w:proofErr w:type="spellStart"/>
      <w:r w:rsidRPr="00313188">
        <w:rPr>
          <w:lang w:val="en-US" w:eastAsia="de-DE"/>
        </w:rPr>
        <w:t>giro</w:t>
      </w:r>
      <w:proofErr w:type="spellEnd"/>
      <w:r w:rsidRPr="00313188">
        <w:rPr>
          <w:lang w:val="en-US" w:eastAsia="de-DE"/>
        </w:rPr>
        <w:t xml:space="preserve"> system whereas the importance of credit transfers and debit cards in Europe origi</w:t>
      </w:r>
      <w:r w:rsidR="006E5A9A">
        <w:rPr>
          <w:lang w:val="en-US" w:eastAsia="de-DE"/>
        </w:rPr>
        <w:t>nated from the historical estab</w:t>
      </w:r>
      <w:r w:rsidRPr="00313188">
        <w:rPr>
          <w:lang w:val="en-US" w:eastAsia="de-DE"/>
        </w:rPr>
        <w:t xml:space="preserve">lishment of the postal </w:t>
      </w:r>
      <w:proofErr w:type="spellStart"/>
      <w:r w:rsidRPr="00313188">
        <w:rPr>
          <w:lang w:val="en-US" w:eastAsia="de-DE"/>
        </w:rPr>
        <w:t>giro</w:t>
      </w:r>
      <w:proofErr w:type="spellEnd"/>
      <w:r w:rsidRPr="00313188">
        <w:rPr>
          <w:lang w:val="en-US" w:eastAsia="de-DE"/>
        </w:rPr>
        <w:t xml:space="preserve"> system. There seems to be a predominant inertia in payment instrument use and the current patterns </w:t>
      </w:r>
      <w:r w:rsidR="00D14C9F">
        <w:rPr>
          <w:lang w:val="en-US" w:eastAsia="de-DE"/>
        </w:rPr>
        <w:t>depend strongly on the past com</w:t>
      </w:r>
      <w:r w:rsidRPr="00313188">
        <w:rPr>
          <w:lang w:val="en-US" w:eastAsia="de-DE"/>
        </w:rPr>
        <w:t>position (Humphrey et al., 1996). Therefore, speci</w:t>
      </w:r>
      <w:r w:rsidR="006E5A9A">
        <w:rPr>
          <w:lang w:val="en-US" w:eastAsia="de-DE"/>
        </w:rPr>
        <w:t>fi</w:t>
      </w:r>
      <w:r w:rsidRPr="00313188">
        <w:rPr>
          <w:lang w:val="en-US" w:eastAsia="de-DE"/>
        </w:rPr>
        <w:t>c payment patterns in the two</w:t>
      </w:r>
      <w:r w:rsidR="006E5A9A">
        <w:rPr>
          <w:lang w:val="en-US" w:eastAsia="de-DE"/>
        </w:rPr>
        <w:t xml:space="preserve"> payment areas may have a signifi</w:t>
      </w:r>
      <w:r w:rsidRPr="00313188">
        <w:rPr>
          <w:lang w:val="en-US" w:eastAsia="de-DE"/>
        </w:rPr>
        <w:t>cant impact on the strength of the e</w:t>
      </w:r>
      <w:r w:rsidR="006E5A9A">
        <w:rPr>
          <w:lang w:val="en-US" w:eastAsia="de-DE"/>
        </w:rPr>
        <w:t>ff</w:t>
      </w:r>
      <w:r w:rsidRPr="00313188">
        <w:rPr>
          <w:lang w:val="en-US" w:eastAsia="de-DE"/>
        </w:rPr>
        <w:t>ects. Also, the US may experience</w:t>
      </w:r>
      <w:r w:rsidR="006E5A9A">
        <w:rPr>
          <w:lang w:val="en-US" w:eastAsia="de-DE"/>
        </w:rPr>
        <w:t xml:space="preserve"> greater network eff</w:t>
      </w:r>
      <w:r w:rsidRPr="00313188">
        <w:rPr>
          <w:lang w:val="en-US" w:eastAsia="de-DE"/>
        </w:rPr>
        <w:t>ects since the di</w:t>
      </w:r>
      <w:r w:rsidR="006E5A9A">
        <w:rPr>
          <w:lang w:val="en-US" w:eastAsia="de-DE"/>
        </w:rPr>
        <w:t>ff</w:t>
      </w:r>
      <w:r w:rsidRPr="00313188">
        <w:rPr>
          <w:lang w:val="en-US" w:eastAsia="de-DE"/>
        </w:rPr>
        <w:t>usion of contactless payment terminals is already at an advanced stage.</w:t>
      </w:r>
    </w:p>
    <w:p w:rsidR="00313188" w:rsidRDefault="00313188" w:rsidP="00223B6D">
      <w:pPr>
        <w:spacing w:line="276" w:lineRule="auto"/>
        <w:rPr>
          <w:lang w:val="en-US" w:eastAsia="de-DE"/>
        </w:rPr>
      </w:pPr>
    </w:p>
    <w:p w:rsidR="00313188" w:rsidRDefault="00313188" w:rsidP="00223B6D">
      <w:pPr>
        <w:spacing w:line="276" w:lineRule="auto"/>
        <w:rPr>
          <w:lang w:val="en-US" w:eastAsia="de-DE"/>
        </w:rPr>
      </w:pPr>
    </w:p>
    <w:p w:rsidR="009345D2" w:rsidRDefault="009345D2" w:rsidP="00223B6D">
      <w:pPr>
        <w:spacing w:line="276" w:lineRule="auto"/>
        <w:rPr>
          <w:lang w:val="en-US" w:eastAsia="de-DE"/>
        </w:rPr>
      </w:pPr>
    </w:p>
    <w:p w:rsidR="00313188" w:rsidRDefault="00313188" w:rsidP="00223B6D">
      <w:pPr>
        <w:spacing w:line="276" w:lineRule="auto"/>
        <w:jc w:val="left"/>
        <w:rPr>
          <w:lang w:val="en-US" w:eastAsia="de-DE"/>
        </w:rPr>
      </w:pPr>
      <w:r>
        <w:rPr>
          <w:lang w:val="en-US" w:eastAsia="de-DE"/>
        </w:rPr>
        <w:br w:type="page"/>
      </w:r>
    </w:p>
    <w:p w:rsidR="00313188" w:rsidRDefault="00313188" w:rsidP="00223B6D">
      <w:pPr>
        <w:pStyle w:val="Nadpis1"/>
        <w:numPr>
          <w:ilvl w:val="0"/>
          <w:numId w:val="0"/>
        </w:numPr>
        <w:spacing w:line="276" w:lineRule="auto"/>
        <w:ind w:left="431" w:hanging="431"/>
        <w:rPr>
          <w:lang w:val="en-US" w:eastAsia="de-DE"/>
        </w:rPr>
      </w:pPr>
      <w:r>
        <w:rPr>
          <w:lang w:val="en-US" w:eastAsia="de-DE"/>
        </w:rPr>
        <w:lastRenderedPageBreak/>
        <w:t>References</w:t>
      </w:r>
    </w:p>
    <w:p w:rsidR="000179BA" w:rsidRPr="000179BA" w:rsidRDefault="000179BA" w:rsidP="00223B6D">
      <w:pPr>
        <w:spacing w:line="276" w:lineRule="auto"/>
        <w:rPr>
          <w:lang w:val="en-US" w:eastAsia="de-DE"/>
        </w:rPr>
      </w:pPr>
      <w:r w:rsidRPr="000179BA">
        <w:rPr>
          <w:lang w:val="en-US" w:eastAsia="de-DE"/>
        </w:rPr>
        <w:t xml:space="preserve">Agarwal, S., </w:t>
      </w:r>
      <w:proofErr w:type="spellStart"/>
      <w:r w:rsidRPr="000179BA">
        <w:rPr>
          <w:lang w:val="en-US" w:eastAsia="de-DE"/>
        </w:rPr>
        <w:t>Chakravorti</w:t>
      </w:r>
      <w:proofErr w:type="spellEnd"/>
      <w:r w:rsidRPr="000179BA">
        <w:rPr>
          <w:lang w:val="en-US" w:eastAsia="de-DE"/>
        </w:rPr>
        <w:t xml:space="preserve">, S. and </w:t>
      </w:r>
      <w:proofErr w:type="spellStart"/>
      <w:r w:rsidRPr="000179BA">
        <w:rPr>
          <w:lang w:val="en-US" w:eastAsia="de-DE"/>
        </w:rPr>
        <w:t>Lunn</w:t>
      </w:r>
      <w:proofErr w:type="spellEnd"/>
      <w:r w:rsidRPr="000179BA">
        <w:rPr>
          <w:lang w:val="en-US" w:eastAsia="de-DE"/>
        </w:rPr>
        <w:t>, A. (2010) Why do banks reward their customers to use their credit cards</w:t>
      </w:r>
      <w:proofErr w:type="gramStart"/>
      <w:r w:rsidRPr="000179BA">
        <w:rPr>
          <w:lang w:val="en-US" w:eastAsia="de-DE"/>
        </w:rPr>
        <w:t>?,</w:t>
      </w:r>
      <w:proofErr w:type="gramEnd"/>
      <w:r w:rsidRPr="000179BA">
        <w:rPr>
          <w:lang w:val="en-US" w:eastAsia="de-DE"/>
        </w:rPr>
        <w:t xml:space="preserve"> Working Paper 2010-19, Federal Reserve Bank of Chicago.</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Alvarez, F. and Lippi, F. (2009) Financial innovation and the transactions demand for cash,</w:t>
      </w:r>
      <w:r>
        <w:rPr>
          <w:lang w:val="en-US" w:eastAsia="de-DE"/>
        </w:rPr>
        <w:t xml:space="preserve"> </w:t>
      </w:r>
      <w:proofErr w:type="spellStart"/>
      <w:r>
        <w:rPr>
          <w:lang w:val="en-US" w:eastAsia="de-DE"/>
        </w:rPr>
        <w:t>Econometrica</w:t>
      </w:r>
      <w:proofErr w:type="spellEnd"/>
      <w:r>
        <w:rPr>
          <w:lang w:val="en-US" w:eastAsia="de-DE"/>
        </w:rPr>
        <w:t>, 77(2), 363-</w:t>
      </w:r>
      <w:r w:rsidRPr="000179BA">
        <w:rPr>
          <w:lang w:val="en-US" w:eastAsia="de-DE"/>
        </w:rPr>
        <w:t>402.</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Amromin</w:t>
      </w:r>
      <w:proofErr w:type="spellEnd"/>
      <w:r w:rsidRPr="000179BA">
        <w:rPr>
          <w:lang w:val="en-US" w:eastAsia="de-DE"/>
        </w:rPr>
        <w:t xml:space="preserve">, G. and </w:t>
      </w:r>
      <w:proofErr w:type="spellStart"/>
      <w:r w:rsidRPr="000179BA">
        <w:rPr>
          <w:lang w:val="en-US" w:eastAsia="de-DE"/>
        </w:rPr>
        <w:t>Chakravorti</w:t>
      </w:r>
      <w:proofErr w:type="spellEnd"/>
      <w:r w:rsidRPr="000179BA">
        <w:rPr>
          <w:lang w:val="en-US" w:eastAsia="de-DE"/>
        </w:rPr>
        <w:t>, S. (2007) Debit card and cash usage: A cross-country analysis, Working Paper 2007-04, Federal Reserve Bank of Chicago.</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Arango</w:t>
      </w:r>
      <w:proofErr w:type="spellEnd"/>
      <w:r w:rsidRPr="000179BA">
        <w:rPr>
          <w:lang w:val="en-US" w:eastAsia="de-DE"/>
        </w:rPr>
        <w:t xml:space="preserve">, C., Huynh, K. P. and </w:t>
      </w:r>
      <w:proofErr w:type="spellStart"/>
      <w:r w:rsidRPr="000179BA">
        <w:rPr>
          <w:lang w:val="en-US" w:eastAsia="de-DE"/>
        </w:rPr>
        <w:t>Sabe</w:t>
      </w:r>
      <w:r>
        <w:rPr>
          <w:lang w:val="en-US" w:eastAsia="de-DE"/>
        </w:rPr>
        <w:t>tti</w:t>
      </w:r>
      <w:proofErr w:type="spellEnd"/>
      <w:r>
        <w:rPr>
          <w:lang w:val="en-US" w:eastAsia="de-DE"/>
        </w:rPr>
        <w:t xml:space="preserve">, L. (2011) </w:t>
      </w:r>
      <w:proofErr w:type="gramStart"/>
      <w:r>
        <w:rPr>
          <w:lang w:val="en-US" w:eastAsia="de-DE"/>
        </w:rPr>
        <w:t>How</w:t>
      </w:r>
      <w:proofErr w:type="gramEnd"/>
      <w:r>
        <w:rPr>
          <w:lang w:val="en-US" w:eastAsia="de-DE"/>
        </w:rPr>
        <w:t xml:space="preserve"> do you pay? </w:t>
      </w:r>
      <w:proofErr w:type="gramStart"/>
      <w:r>
        <w:rPr>
          <w:lang w:val="en-US" w:eastAsia="de-DE"/>
        </w:rPr>
        <w:t>T</w:t>
      </w:r>
      <w:r w:rsidRPr="000179BA">
        <w:rPr>
          <w:lang w:val="en-US" w:eastAsia="de-DE"/>
        </w:rPr>
        <w:t>he role of incentives at the point-of-sale, Working Paper 2011-23, Bank of Canada.</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 xml:space="preserve">Board of Governors of the Federal Reserve System (2011) 2009 Interchange Revenue, Covered Issuer Cost, and Covered Issuer and Merchant Fraud Loss Related to Debit Card Transactions, [Online]. </w:t>
      </w:r>
      <w:proofErr w:type="gramStart"/>
      <w:r w:rsidRPr="000179BA">
        <w:rPr>
          <w:lang w:val="en-US" w:eastAsia="de-DE"/>
        </w:rPr>
        <w:t>www.federalreserve.gov/paymentsystems (26.05.2014).</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Borzekowski</w:t>
      </w:r>
      <w:proofErr w:type="spellEnd"/>
      <w:r w:rsidRPr="000179BA">
        <w:rPr>
          <w:lang w:val="en-US" w:eastAsia="de-DE"/>
        </w:rPr>
        <w:t xml:space="preserve">, R. and Kiser, E. K. (2008) </w:t>
      </w:r>
      <w:proofErr w:type="gramStart"/>
      <w:r w:rsidRPr="000179BA">
        <w:rPr>
          <w:lang w:val="en-US" w:eastAsia="de-DE"/>
        </w:rPr>
        <w:t>The</w:t>
      </w:r>
      <w:proofErr w:type="gramEnd"/>
      <w:r w:rsidRPr="000179BA">
        <w:rPr>
          <w:lang w:val="en-US" w:eastAsia="de-DE"/>
        </w:rPr>
        <w:t xml:space="preserve"> choice at the checkout: Quantifying demand across payment instruments, International Journal of In</w:t>
      </w:r>
      <w:r w:rsidR="00D14C9F">
        <w:rPr>
          <w:lang w:val="en-US" w:eastAsia="de-DE"/>
        </w:rPr>
        <w:t>dustrial Organization</w:t>
      </w:r>
      <w:r>
        <w:rPr>
          <w:lang w:val="en-US" w:eastAsia="de-DE"/>
        </w:rPr>
        <w:t>, 26, 889-</w:t>
      </w:r>
      <w:r w:rsidRPr="000179BA">
        <w:rPr>
          <w:lang w:val="en-US" w:eastAsia="de-DE"/>
        </w:rPr>
        <w:t>902.</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eastAsia="de-DE"/>
        </w:rPr>
      </w:pPr>
      <w:proofErr w:type="spellStart"/>
      <w:r w:rsidRPr="000179BA">
        <w:rPr>
          <w:lang w:eastAsia="de-DE"/>
        </w:rPr>
        <w:t>Bro</w:t>
      </w:r>
      <w:r>
        <w:rPr>
          <w:lang w:eastAsia="de-DE"/>
        </w:rPr>
        <w:t>uzos</w:t>
      </w:r>
      <w:proofErr w:type="spellEnd"/>
      <w:r>
        <w:rPr>
          <w:lang w:eastAsia="de-DE"/>
        </w:rPr>
        <w:t>, J. (2014) Kreditkartengebü</w:t>
      </w:r>
      <w:r w:rsidRPr="000179BA">
        <w:rPr>
          <w:lang w:eastAsia="de-DE"/>
        </w:rPr>
        <w:t xml:space="preserve">hren: </w:t>
      </w:r>
      <w:proofErr w:type="spellStart"/>
      <w:r w:rsidRPr="000179BA">
        <w:rPr>
          <w:lang w:eastAsia="de-DE"/>
        </w:rPr>
        <w:t>Weko</w:t>
      </w:r>
      <w:proofErr w:type="spellEnd"/>
      <w:r w:rsidRPr="000179BA">
        <w:rPr>
          <w:lang w:eastAsia="de-DE"/>
        </w:rPr>
        <w:t xml:space="preserve"> schaltet sich ein, Handelszeitung, Ausgabe vom 12.03.2014, [Online]. www.handelszeitung.ch.</w:t>
      </w:r>
    </w:p>
    <w:p w:rsidR="000179BA" w:rsidRPr="000179BA" w:rsidRDefault="000179BA" w:rsidP="00223B6D">
      <w:pPr>
        <w:spacing w:line="276" w:lineRule="auto"/>
        <w:rPr>
          <w:lang w:eastAsia="de-DE"/>
        </w:rPr>
      </w:pPr>
    </w:p>
    <w:p w:rsidR="000179BA" w:rsidRPr="000179BA" w:rsidRDefault="000179BA" w:rsidP="00223B6D">
      <w:pPr>
        <w:spacing w:line="276" w:lineRule="auto"/>
        <w:rPr>
          <w:lang w:val="en-US" w:eastAsia="de-DE"/>
        </w:rPr>
      </w:pPr>
      <w:proofErr w:type="spellStart"/>
      <w:r w:rsidRPr="000179BA">
        <w:rPr>
          <w:lang w:val="en-US" w:eastAsia="de-DE"/>
        </w:rPr>
        <w:t>Caliendo</w:t>
      </w:r>
      <w:proofErr w:type="spellEnd"/>
      <w:r w:rsidRPr="000179BA">
        <w:rPr>
          <w:lang w:val="en-US" w:eastAsia="de-DE"/>
        </w:rPr>
        <w:t xml:space="preserve">, M. and </w:t>
      </w:r>
      <w:proofErr w:type="spellStart"/>
      <w:r w:rsidRPr="000179BA">
        <w:rPr>
          <w:lang w:val="en-US" w:eastAsia="de-DE"/>
        </w:rPr>
        <w:t>Kopeinig</w:t>
      </w:r>
      <w:proofErr w:type="spellEnd"/>
      <w:r w:rsidRPr="000179BA">
        <w:rPr>
          <w:lang w:val="en-US" w:eastAsia="de-DE"/>
        </w:rPr>
        <w:t xml:space="preserve">, S. (2005) </w:t>
      </w:r>
      <w:proofErr w:type="gramStart"/>
      <w:r w:rsidRPr="000179BA">
        <w:rPr>
          <w:lang w:val="en-US" w:eastAsia="de-DE"/>
        </w:rPr>
        <w:t>Some</w:t>
      </w:r>
      <w:proofErr w:type="gramEnd"/>
      <w:r w:rsidRPr="000179BA">
        <w:rPr>
          <w:lang w:val="en-US" w:eastAsia="de-DE"/>
        </w:rPr>
        <w:t xml:space="preserve"> practical guidance for the implementation of </w:t>
      </w:r>
      <w:proofErr w:type="spellStart"/>
      <w:r w:rsidRPr="000179BA">
        <w:rPr>
          <w:lang w:val="en-US" w:eastAsia="de-DE"/>
        </w:rPr>
        <w:t>propen-sity</w:t>
      </w:r>
      <w:proofErr w:type="spellEnd"/>
      <w:r w:rsidRPr="000179BA">
        <w:rPr>
          <w:lang w:val="en-US" w:eastAsia="de-DE"/>
        </w:rPr>
        <w:t xml:space="preserve"> score matching, IZA Discussion Paper No. 1588.</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Carbó-Valverde</w:t>
      </w:r>
      <w:proofErr w:type="spellEnd"/>
      <w:r w:rsidRPr="000179BA">
        <w:rPr>
          <w:lang w:val="en-US" w:eastAsia="de-DE"/>
        </w:rPr>
        <w:t>, S. and Linares-</w:t>
      </w:r>
      <w:proofErr w:type="spellStart"/>
      <w:r w:rsidRPr="000179BA">
        <w:rPr>
          <w:lang w:val="en-US" w:eastAsia="de-DE"/>
        </w:rPr>
        <w:t>Zegarra</w:t>
      </w:r>
      <w:proofErr w:type="spellEnd"/>
      <w:r w:rsidRPr="000179BA">
        <w:rPr>
          <w:lang w:val="en-US" w:eastAsia="de-DE"/>
        </w:rPr>
        <w:t xml:space="preserve">, J. M. (2009) How </w:t>
      </w:r>
      <w:r>
        <w:rPr>
          <w:lang w:val="en-US" w:eastAsia="de-DE"/>
        </w:rPr>
        <w:t>eff</w:t>
      </w:r>
      <w:r w:rsidRPr="000179BA">
        <w:rPr>
          <w:lang w:val="en-US" w:eastAsia="de-DE"/>
        </w:rPr>
        <w:t xml:space="preserve">ective are rewards programs in promoting payment card usage? </w:t>
      </w:r>
      <w:proofErr w:type="gramStart"/>
      <w:r w:rsidRPr="000179BA">
        <w:rPr>
          <w:lang w:val="en-US" w:eastAsia="de-DE"/>
        </w:rPr>
        <w:t>Empirical evidence, Working Paper Series No. 1141, European Central Bank, [Online].</w:t>
      </w:r>
      <w:proofErr w:type="gramEnd"/>
      <w:r w:rsidRPr="000179BA">
        <w:rPr>
          <w:lang w:val="en-US" w:eastAsia="de-DE"/>
        </w:rPr>
        <w:t xml:space="preserve"> </w:t>
      </w:r>
      <w:proofErr w:type="gramStart"/>
      <w:r w:rsidRPr="000179BA">
        <w:rPr>
          <w:lang w:val="en-US" w:eastAsia="de-DE"/>
        </w:rPr>
        <w:t>www.ecb.europa.eu (27.12.2010).</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Ching</w:t>
      </w:r>
      <w:proofErr w:type="spellEnd"/>
      <w:r w:rsidRPr="000179BA">
        <w:rPr>
          <w:lang w:val="en-US" w:eastAsia="de-DE"/>
        </w:rPr>
        <w:t>, A. T. and Hayashi, F. (2010) Payment card rewards programs and consumer payment choice,</w:t>
      </w:r>
      <w:r>
        <w:rPr>
          <w:lang w:val="en-US" w:eastAsia="de-DE"/>
        </w:rPr>
        <w:t xml:space="preserve"> Journal of Banking and Finance, 34(8), 1773-</w:t>
      </w:r>
      <w:r w:rsidRPr="000179BA">
        <w:rPr>
          <w:lang w:val="en-US" w:eastAsia="de-DE"/>
        </w:rPr>
        <w:t>1787.</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Davis, F. D. (1989) Perceived usefulness, perceived ease of use, and user acceptance of information techno</w:t>
      </w:r>
      <w:r>
        <w:rPr>
          <w:lang w:val="en-US" w:eastAsia="de-DE"/>
        </w:rPr>
        <w:t>logy, MIS Quarterly, 13(3), 319-</w:t>
      </w:r>
      <w:r w:rsidRPr="000179BA">
        <w:rPr>
          <w:lang w:val="en-US" w:eastAsia="de-DE"/>
        </w:rPr>
        <w:t>340.</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Drehmann</w:t>
      </w:r>
      <w:proofErr w:type="spellEnd"/>
      <w:r w:rsidRPr="000179BA">
        <w:rPr>
          <w:lang w:val="en-US" w:eastAsia="de-DE"/>
        </w:rPr>
        <w:t xml:space="preserve">, M., </w:t>
      </w:r>
      <w:proofErr w:type="spellStart"/>
      <w:r w:rsidRPr="000179BA">
        <w:rPr>
          <w:lang w:val="en-US" w:eastAsia="de-DE"/>
        </w:rPr>
        <w:t>Goodhart</w:t>
      </w:r>
      <w:proofErr w:type="spellEnd"/>
      <w:r w:rsidRPr="000179BA">
        <w:rPr>
          <w:lang w:val="en-US" w:eastAsia="de-DE"/>
        </w:rPr>
        <w:t>, C. and Krueger, M. (2004) The challenges facing currency usage: Will the traditional transaction medium be able to resist competition from new technologies</w:t>
      </w:r>
      <w:proofErr w:type="gramStart"/>
      <w:r w:rsidRPr="000179BA">
        <w:rPr>
          <w:lang w:val="en-US" w:eastAsia="de-DE"/>
        </w:rPr>
        <w:t>?,</w:t>
      </w:r>
      <w:proofErr w:type="gramEnd"/>
      <w:r>
        <w:rPr>
          <w:lang w:val="en-US" w:eastAsia="de-DE"/>
        </w:rPr>
        <w:t xml:space="preserve"> Economic Policy, 56, 195-</w:t>
      </w:r>
      <w:r w:rsidRPr="000179BA">
        <w:rPr>
          <w:lang w:val="en-US" w:eastAsia="de-DE"/>
        </w:rPr>
        <w:t>227.</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European Parliament (2014) MEPs back cap on card payment fees, Committees Committee</w:t>
      </w:r>
      <w:r>
        <w:rPr>
          <w:lang w:val="en-US" w:eastAsia="de-DE"/>
        </w:rPr>
        <w:t xml:space="preserve"> on Economic and Monetary Aff</w:t>
      </w:r>
      <w:r w:rsidRPr="000179BA">
        <w:rPr>
          <w:lang w:val="en-US" w:eastAsia="de-DE"/>
        </w:rPr>
        <w:t xml:space="preserve">airs, Press Release 20.02.14, [Online]. </w:t>
      </w:r>
      <w:proofErr w:type="gramStart"/>
      <w:r w:rsidRPr="000179BA">
        <w:rPr>
          <w:lang w:val="en-US" w:eastAsia="de-DE"/>
        </w:rPr>
        <w:t>www.europarl.europa.eu (20.03.14).</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lastRenderedPageBreak/>
        <w:t xml:space="preserve">Evans, D. and </w:t>
      </w:r>
      <w:proofErr w:type="spellStart"/>
      <w:r w:rsidRPr="000179BA">
        <w:rPr>
          <w:lang w:val="en-US" w:eastAsia="de-DE"/>
        </w:rPr>
        <w:t>Schmalensee</w:t>
      </w:r>
      <w:proofErr w:type="spellEnd"/>
      <w:r w:rsidRPr="000179BA">
        <w:rPr>
          <w:lang w:val="en-US" w:eastAsia="de-DE"/>
        </w:rPr>
        <w:t xml:space="preserve">, R. (2005) The economics of interchange fees and their regulation: An overview, Proceedings </w:t>
      </w:r>
      <w:r>
        <w:rPr>
          <w:lang w:val="en-US" w:eastAsia="de-DE"/>
        </w:rPr>
        <w:t>in</w:t>
      </w:r>
      <w:r w:rsidRPr="000179BA">
        <w:rPr>
          <w:lang w:val="en-US" w:eastAsia="de-DE"/>
        </w:rPr>
        <w:t xml:space="preserve"> Payments System Research Conferences, Federal Reserve B</w:t>
      </w:r>
      <w:r>
        <w:rPr>
          <w:lang w:val="en-US" w:eastAsia="de-DE"/>
        </w:rPr>
        <w:t>ank of Kansas City, issue May,</w:t>
      </w:r>
      <w:r w:rsidRPr="000179BA">
        <w:rPr>
          <w:lang w:val="en-US" w:eastAsia="de-DE"/>
        </w:rPr>
        <w:t xml:space="preserve"> 73-120.</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 xml:space="preserve">Foster, K., </w:t>
      </w:r>
      <w:proofErr w:type="spellStart"/>
      <w:r w:rsidRPr="000179BA">
        <w:rPr>
          <w:lang w:val="en-US" w:eastAsia="de-DE"/>
        </w:rPr>
        <w:t>Schuh</w:t>
      </w:r>
      <w:proofErr w:type="spellEnd"/>
      <w:r w:rsidRPr="000179BA">
        <w:rPr>
          <w:lang w:val="en-US" w:eastAsia="de-DE"/>
        </w:rPr>
        <w:t>, S. and Zhang, H. (2013) The 2010 survey of consumer payment choice, Re-search Data Reports No. 13-2, The Federal Reserve Bank of Boston.</w:t>
      </w:r>
    </w:p>
    <w:p w:rsidR="000179BA" w:rsidRPr="000179BA" w:rsidRDefault="000179BA" w:rsidP="00223B6D">
      <w:pPr>
        <w:spacing w:line="276" w:lineRule="auto"/>
        <w:rPr>
          <w:lang w:val="en-US" w:eastAsia="de-DE"/>
        </w:rPr>
      </w:pPr>
      <w:proofErr w:type="spellStart"/>
      <w:r w:rsidRPr="000179BA">
        <w:rPr>
          <w:lang w:val="en-US" w:eastAsia="de-DE"/>
        </w:rPr>
        <w:t>Fujiki</w:t>
      </w:r>
      <w:proofErr w:type="spellEnd"/>
      <w:r w:rsidRPr="000179BA">
        <w:rPr>
          <w:lang w:val="en-US" w:eastAsia="de-DE"/>
        </w:rPr>
        <w:t xml:space="preserve">, H. and Tanaka, M. (2009) Demand for Currency, New Technology and the Adoption of Electronic Money: Evidence Using Individual Household Data, Discussion Paper No. 2009-E-27, Institute for Monetary and Economic Studies, Bank of Japan, [Online]. </w:t>
      </w:r>
      <w:proofErr w:type="gramStart"/>
      <w:r w:rsidRPr="000179BA">
        <w:rPr>
          <w:lang w:val="en-US" w:eastAsia="de-DE"/>
        </w:rPr>
        <w:t>www.imes.boj.or.jp (27.12.2010).</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Humphrey, D. B., Kim, M. and Vale, B. (2001) Realizing the gains from electronic payments: cost, pricing and payment choice, Journ</w:t>
      </w:r>
      <w:r w:rsidR="00D14C9F">
        <w:rPr>
          <w:lang w:val="en-US" w:eastAsia="de-DE"/>
        </w:rPr>
        <w:t>al of Money, Credit and Banking</w:t>
      </w:r>
      <w:r w:rsidRPr="000179BA">
        <w:rPr>
          <w:lang w:val="en-US" w:eastAsia="de-DE"/>
        </w:rPr>
        <w:t>, 33(2), 216 234.</w:t>
      </w:r>
    </w:p>
    <w:p w:rsidR="00313188" w:rsidRDefault="00313188"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 xml:space="preserve">Humphrey, D. B., Pulley, L. B. and </w:t>
      </w:r>
      <w:proofErr w:type="spellStart"/>
      <w:r w:rsidRPr="000179BA">
        <w:rPr>
          <w:lang w:val="en-US" w:eastAsia="de-DE"/>
        </w:rPr>
        <w:t>Vesala</w:t>
      </w:r>
      <w:proofErr w:type="spellEnd"/>
      <w:r w:rsidRPr="000179BA">
        <w:rPr>
          <w:lang w:val="en-US" w:eastAsia="de-DE"/>
        </w:rPr>
        <w:t>, J. (1996) Cash, paper and electronic payments: A cross-country analysis, Journal of Money, 28(4), 914 939.</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 xml:space="preserve">Jaeger, F., </w:t>
      </w:r>
      <w:proofErr w:type="spellStart"/>
      <w:r w:rsidRPr="000179BA">
        <w:rPr>
          <w:lang w:val="en-US" w:eastAsia="de-DE"/>
        </w:rPr>
        <w:t>Höppli</w:t>
      </w:r>
      <w:proofErr w:type="spellEnd"/>
      <w:r w:rsidRPr="000179BA">
        <w:rPr>
          <w:lang w:val="en-US" w:eastAsia="de-DE"/>
        </w:rPr>
        <w:t xml:space="preserve">, T. and </w:t>
      </w:r>
      <w:proofErr w:type="spellStart"/>
      <w:r w:rsidRPr="000179BA">
        <w:rPr>
          <w:lang w:val="en-US" w:eastAsia="de-DE"/>
        </w:rPr>
        <w:t>Koller</w:t>
      </w:r>
      <w:proofErr w:type="spellEnd"/>
      <w:r w:rsidRPr="000179BA">
        <w:rPr>
          <w:lang w:val="en-US" w:eastAsia="de-DE"/>
        </w:rPr>
        <w:t xml:space="preserve">, J. (2011) </w:t>
      </w:r>
      <w:proofErr w:type="spellStart"/>
      <w:r w:rsidRPr="000179BA">
        <w:rPr>
          <w:lang w:val="en-US" w:eastAsia="de-DE"/>
        </w:rPr>
        <w:t>Studie</w:t>
      </w:r>
      <w:proofErr w:type="spellEnd"/>
      <w:r w:rsidRPr="000179BA">
        <w:rPr>
          <w:lang w:val="en-US" w:eastAsia="de-DE"/>
        </w:rPr>
        <w:t xml:space="preserve">: </w:t>
      </w:r>
      <w:proofErr w:type="spellStart"/>
      <w:r w:rsidRPr="000179BA">
        <w:rPr>
          <w:lang w:val="en-US" w:eastAsia="de-DE"/>
        </w:rPr>
        <w:t>Schweizer</w:t>
      </w:r>
      <w:proofErr w:type="spellEnd"/>
      <w:r w:rsidRPr="000179BA">
        <w:rPr>
          <w:lang w:val="en-US" w:eastAsia="de-DE"/>
        </w:rPr>
        <w:t xml:space="preserve"> </w:t>
      </w:r>
      <w:proofErr w:type="spellStart"/>
      <w:r w:rsidRPr="000179BA">
        <w:rPr>
          <w:lang w:val="en-US" w:eastAsia="de-DE"/>
        </w:rPr>
        <w:t>Kreditkartenmarkt</w:t>
      </w:r>
      <w:proofErr w:type="spellEnd"/>
      <w:r w:rsidRPr="000179BA">
        <w:rPr>
          <w:lang w:val="en-US" w:eastAsia="de-DE"/>
        </w:rPr>
        <w:t xml:space="preserve">, </w:t>
      </w:r>
      <w:proofErr w:type="spellStart"/>
      <w:r w:rsidRPr="000179BA">
        <w:rPr>
          <w:lang w:val="en-US" w:eastAsia="de-DE"/>
        </w:rPr>
        <w:t>St.Gallen</w:t>
      </w:r>
      <w:proofErr w:type="spellEnd"/>
      <w:r w:rsidRPr="000179BA">
        <w:rPr>
          <w:lang w:val="en-US" w:eastAsia="de-DE"/>
        </w:rPr>
        <w:t>: Executive School of Management, Technology and Law (ES-HSG), [Online].</w:t>
      </w:r>
      <w:proofErr w:type="gramEnd"/>
      <w:r w:rsidRPr="000179BA">
        <w:rPr>
          <w:lang w:val="en-US" w:eastAsia="de-DE"/>
        </w:rPr>
        <w:t xml:space="preserve"> </w:t>
      </w:r>
      <w:proofErr w:type="gramStart"/>
      <w:r w:rsidRPr="000179BA">
        <w:rPr>
          <w:lang w:val="en-US" w:eastAsia="de-DE"/>
        </w:rPr>
        <w:t>www.es.unisg.ch (15.09.13).</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Johnson, J. J. (2014) Debit Card Interchange Fees and Routing: Interim Final Rule.</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Jonker</w:t>
      </w:r>
      <w:proofErr w:type="spellEnd"/>
      <w:r w:rsidRPr="000179BA">
        <w:rPr>
          <w:lang w:val="en-US" w:eastAsia="de-DE"/>
        </w:rPr>
        <w:t xml:space="preserve">, N. (2007) Payment instruments as </w:t>
      </w:r>
      <w:proofErr w:type="spellStart"/>
      <w:r w:rsidRPr="000179BA">
        <w:rPr>
          <w:lang w:val="en-US" w:eastAsia="de-DE"/>
        </w:rPr>
        <w:t>perveived</w:t>
      </w:r>
      <w:proofErr w:type="spellEnd"/>
      <w:r w:rsidRPr="000179BA">
        <w:rPr>
          <w:lang w:val="en-US" w:eastAsia="de-DE"/>
        </w:rPr>
        <w:t xml:space="preserve"> by consumers: Results from a househol</w:t>
      </w:r>
      <w:r w:rsidR="00BB39DC">
        <w:rPr>
          <w:lang w:val="en-US" w:eastAsia="de-DE"/>
        </w:rPr>
        <w:t>d survey, De Economist, 155, 21-</w:t>
      </w:r>
      <w:r w:rsidRPr="000179BA">
        <w:rPr>
          <w:lang w:val="en-US" w:eastAsia="de-DE"/>
        </w:rPr>
        <w:t>38.</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 xml:space="preserve">Kim, B.-M., </w:t>
      </w:r>
      <w:proofErr w:type="spellStart"/>
      <w:r w:rsidRPr="000179BA">
        <w:rPr>
          <w:lang w:val="en-US" w:eastAsia="de-DE"/>
        </w:rPr>
        <w:t>Yilmazer</w:t>
      </w:r>
      <w:proofErr w:type="spellEnd"/>
      <w:r w:rsidRPr="000179BA">
        <w:rPr>
          <w:lang w:val="en-US" w:eastAsia="de-DE"/>
        </w:rPr>
        <w:t xml:space="preserve">, T. and </w:t>
      </w:r>
      <w:proofErr w:type="spellStart"/>
      <w:r w:rsidRPr="000179BA">
        <w:rPr>
          <w:lang w:val="en-US" w:eastAsia="de-DE"/>
        </w:rPr>
        <w:t>Widdows</w:t>
      </w:r>
      <w:proofErr w:type="spellEnd"/>
      <w:r w:rsidRPr="000179BA">
        <w:rPr>
          <w:lang w:val="en-US" w:eastAsia="de-DE"/>
        </w:rPr>
        <w:t>, R. (2006) Adoption of internet banking and consumers' payment choices, Working Paper, Purdue University.</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Klee, E.</w:t>
      </w:r>
      <w:r w:rsidR="00BB39DC">
        <w:rPr>
          <w:lang w:val="en-US" w:eastAsia="de-DE"/>
        </w:rPr>
        <w:t xml:space="preserve"> (2006) Paper or Plastic?</w:t>
      </w:r>
      <w:proofErr w:type="gramEnd"/>
      <w:r w:rsidR="00BB39DC">
        <w:rPr>
          <w:lang w:val="en-US" w:eastAsia="de-DE"/>
        </w:rPr>
        <w:t xml:space="preserve"> The eff</w:t>
      </w:r>
      <w:r w:rsidRPr="000179BA">
        <w:rPr>
          <w:lang w:val="en-US" w:eastAsia="de-DE"/>
        </w:rPr>
        <w:t>ect of time on check and debit card use at grocery stores, Working Paper, Board of Governors of the Federal Reserve System.</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Lechner</w:t>
      </w:r>
      <w:proofErr w:type="spellEnd"/>
      <w:r w:rsidRPr="000179BA">
        <w:rPr>
          <w:lang w:val="en-US" w:eastAsia="de-DE"/>
        </w:rPr>
        <w:t xml:space="preserve">, M. (2002) </w:t>
      </w:r>
      <w:proofErr w:type="gramStart"/>
      <w:r w:rsidRPr="000179BA">
        <w:rPr>
          <w:lang w:val="en-US" w:eastAsia="de-DE"/>
        </w:rPr>
        <w:t>Some</w:t>
      </w:r>
      <w:proofErr w:type="gramEnd"/>
      <w:r w:rsidRPr="000179BA">
        <w:rPr>
          <w:lang w:val="en-US" w:eastAsia="de-DE"/>
        </w:rPr>
        <w:t xml:space="preserve"> practical iss</w:t>
      </w:r>
      <w:r w:rsidR="00BB39DC">
        <w:rPr>
          <w:lang w:val="en-US" w:eastAsia="de-DE"/>
        </w:rPr>
        <w:t>u</w:t>
      </w:r>
      <w:r w:rsidRPr="000179BA">
        <w:rPr>
          <w:lang w:val="en-US" w:eastAsia="de-DE"/>
        </w:rPr>
        <w:t xml:space="preserve">es in the evaluation of </w:t>
      </w:r>
      <w:proofErr w:type="spellStart"/>
      <w:r w:rsidRPr="000179BA">
        <w:rPr>
          <w:lang w:val="en-US" w:eastAsia="de-DE"/>
        </w:rPr>
        <w:t>heterogenous</w:t>
      </w:r>
      <w:proofErr w:type="spellEnd"/>
      <w:r w:rsidRPr="000179BA">
        <w:rPr>
          <w:lang w:val="en-US" w:eastAsia="de-DE"/>
        </w:rPr>
        <w:t xml:space="preserve"> </w:t>
      </w:r>
      <w:proofErr w:type="spellStart"/>
      <w:r w:rsidRPr="000179BA">
        <w:rPr>
          <w:lang w:val="en-US" w:eastAsia="de-DE"/>
        </w:rPr>
        <w:t>labour</w:t>
      </w:r>
      <w:proofErr w:type="spellEnd"/>
      <w:r w:rsidRPr="000179BA">
        <w:rPr>
          <w:lang w:val="en-US" w:eastAsia="de-DE"/>
        </w:rPr>
        <w:t xml:space="preserve"> market pro-</w:t>
      </w:r>
      <w:proofErr w:type="spellStart"/>
      <w:r w:rsidRPr="000179BA">
        <w:rPr>
          <w:lang w:val="en-US" w:eastAsia="de-DE"/>
        </w:rPr>
        <w:t>grammes</w:t>
      </w:r>
      <w:proofErr w:type="spellEnd"/>
      <w:r w:rsidRPr="000179BA">
        <w:rPr>
          <w:lang w:val="en-US" w:eastAsia="de-DE"/>
        </w:rPr>
        <w:t xml:space="preserve"> by matching methods, Journal of Roya</w:t>
      </w:r>
      <w:r w:rsidR="00D14C9F">
        <w:rPr>
          <w:lang w:val="en-US" w:eastAsia="de-DE"/>
        </w:rPr>
        <w:t>l Statistical Society</w:t>
      </w:r>
      <w:r w:rsidR="00BB39DC">
        <w:rPr>
          <w:lang w:val="en-US" w:eastAsia="de-DE"/>
        </w:rPr>
        <w:t>, 165, 59-</w:t>
      </w:r>
      <w:r w:rsidRPr="000179BA">
        <w:rPr>
          <w:lang w:val="en-US" w:eastAsia="de-DE"/>
        </w:rPr>
        <w:t>82.</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Lee, J. and Kwon, K.-N.</w:t>
      </w:r>
      <w:proofErr w:type="gramEnd"/>
      <w:r w:rsidRPr="000179BA">
        <w:rPr>
          <w:lang w:val="en-US" w:eastAsia="de-DE"/>
        </w:rPr>
        <w:t xml:space="preserve"> (2002) Consumers' use of credit cards: Store credit card usage as an alternative payment and </w:t>
      </w:r>
      <w:r w:rsidR="00BB39DC">
        <w:rPr>
          <w:lang w:val="en-US" w:eastAsia="de-DE"/>
        </w:rPr>
        <w:t>fi</w:t>
      </w:r>
      <w:r w:rsidRPr="000179BA">
        <w:rPr>
          <w:lang w:val="en-US" w:eastAsia="de-DE"/>
        </w:rPr>
        <w:t xml:space="preserve">nancing medium, The Journal </w:t>
      </w:r>
      <w:r w:rsidR="00D14C9F">
        <w:rPr>
          <w:lang w:val="en-US" w:eastAsia="de-DE"/>
        </w:rPr>
        <w:t xml:space="preserve">of Consumer </w:t>
      </w:r>
      <w:proofErr w:type="gramStart"/>
      <w:r w:rsidR="00D14C9F">
        <w:rPr>
          <w:lang w:val="en-US" w:eastAsia="de-DE"/>
        </w:rPr>
        <w:t>Aff</w:t>
      </w:r>
      <w:r w:rsidR="00BB39DC">
        <w:rPr>
          <w:lang w:val="en-US" w:eastAsia="de-DE"/>
        </w:rPr>
        <w:t>airs ,</w:t>
      </w:r>
      <w:proofErr w:type="gramEnd"/>
      <w:r w:rsidR="00BB39DC">
        <w:rPr>
          <w:lang w:val="en-US" w:eastAsia="de-DE"/>
        </w:rPr>
        <w:t xml:space="preserve"> 36(2), 239-</w:t>
      </w:r>
      <w:r w:rsidRPr="000179BA">
        <w:rPr>
          <w:lang w:val="en-US" w:eastAsia="de-DE"/>
        </w:rPr>
        <w:t>262.</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 xml:space="preserve">Leong, L.-Y., </w:t>
      </w:r>
      <w:proofErr w:type="spellStart"/>
      <w:r w:rsidRPr="000179BA">
        <w:rPr>
          <w:lang w:val="en-US" w:eastAsia="de-DE"/>
        </w:rPr>
        <w:t>Hewb</w:t>
      </w:r>
      <w:proofErr w:type="spellEnd"/>
      <w:r w:rsidRPr="000179BA">
        <w:rPr>
          <w:lang w:val="en-US" w:eastAsia="de-DE"/>
        </w:rPr>
        <w:t>, T.-S., Tan, G. W.-H.</w:t>
      </w:r>
      <w:proofErr w:type="gramEnd"/>
      <w:r w:rsidRPr="000179BA">
        <w:rPr>
          <w:lang w:val="en-US" w:eastAsia="de-DE"/>
        </w:rPr>
        <w:t xml:space="preserve"> </w:t>
      </w:r>
      <w:proofErr w:type="gramStart"/>
      <w:r w:rsidRPr="000179BA">
        <w:rPr>
          <w:lang w:val="en-US" w:eastAsia="de-DE"/>
        </w:rPr>
        <w:t>and</w:t>
      </w:r>
      <w:proofErr w:type="gramEnd"/>
      <w:r w:rsidRPr="000179BA">
        <w:rPr>
          <w:lang w:val="en-US" w:eastAsia="de-DE"/>
        </w:rPr>
        <w:t xml:space="preserve"> </w:t>
      </w:r>
      <w:proofErr w:type="spellStart"/>
      <w:r w:rsidRPr="000179BA">
        <w:rPr>
          <w:lang w:val="en-US" w:eastAsia="de-DE"/>
        </w:rPr>
        <w:t>Ooi</w:t>
      </w:r>
      <w:proofErr w:type="spellEnd"/>
      <w:r w:rsidRPr="000179BA">
        <w:rPr>
          <w:lang w:val="en-US" w:eastAsia="de-DE"/>
        </w:rPr>
        <w:t xml:space="preserve">, K.-B. (2013) </w:t>
      </w:r>
      <w:proofErr w:type="gramStart"/>
      <w:r w:rsidRPr="000179BA">
        <w:rPr>
          <w:lang w:val="en-US" w:eastAsia="de-DE"/>
        </w:rPr>
        <w:t>Predicting</w:t>
      </w:r>
      <w:proofErr w:type="gramEnd"/>
      <w:r w:rsidRPr="000179BA">
        <w:rPr>
          <w:lang w:val="en-US" w:eastAsia="de-DE"/>
        </w:rPr>
        <w:t xml:space="preserve"> the determinants of the NFC-enabled mobile credit card acceptance: A neural networks approach, Expert Syst</w:t>
      </w:r>
      <w:r w:rsidR="00BB39DC">
        <w:rPr>
          <w:lang w:val="en-US" w:eastAsia="de-DE"/>
        </w:rPr>
        <w:t>ems with Applications, 40, 5604-</w:t>
      </w:r>
      <w:r w:rsidRPr="000179BA">
        <w:rPr>
          <w:lang w:val="en-US" w:eastAsia="de-DE"/>
        </w:rPr>
        <w:t>5620.</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eastAsia="de-DE"/>
        </w:rPr>
      </w:pPr>
      <w:r w:rsidRPr="000179BA">
        <w:rPr>
          <w:lang w:val="en-US" w:eastAsia="de-DE"/>
        </w:rPr>
        <w:t xml:space="preserve">Leuven, E. and </w:t>
      </w:r>
      <w:proofErr w:type="spellStart"/>
      <w:r w:rsidRPr="000179BA">
        <w:rPr>
          <w:lang w:val="en-US" w:eastAsia="de-DE"/>
        </w:rPr>
        <w:t>Sianesi</w:t>
      </w:r>
      <w:proofErr w:type="spellEnd"/>
      <w:r w:rsidRPr="000179BA">
        <w:rPr>
          <w:lang w:val="en-US" w:eastAsia="de-DE"/>
        </w:rPr>
        <w:t xml:space="preserve">, B. (2003) PSMATCH2: Stata module to perform full </w:t>
      </w:r>
      <w:proofErr w:type="spellStart"/>
      <w:r w:rsidRPr="000179BA">
        <w:rPr>
          <w:lang w:val="en-US" w:eastAsia="de-DE"/>
        </w:rPr>
        <w:t>Mahalanobis</w:t>
      </w:r>
      <w:proofErr w:type="spellEnd"/>
      <w:r w:rsidRPr="000179BA">
        <w:rPr>
          <w:lang w:val="en-US" w:eastAsia="de-DE"/>
        </w:rPr>
        <w:t xml:space="preserve"> and propensity score matching, common support graphing, and covariate imbalance testing, Boston College Department of Economics, Statistical Software Components. </w:t>
      </w:r>
      <w:r w:rsidRPr="000179BA">
        <w:rPr>
          <w:lang w:eastAsia="de-DE"/>
        </w:rPr>
        <w:t>Version 4.0.10 10feb2014. [Online.] http://ideas.repec.org/c/boc/bocode/s432001.html (11.06.2014).</w:t>
      </w:r>
    </w:p>
    <w:p w:rsidR="000179BA" w:rsidRPr="000179BA" w:rsidRDefault="000179BA" w:rsidP="00223B6D">
      <w:pPr>
        <w:spacing w:line="276" w:lineRule="auto"/>
        <w:rPr>
          <w:lang w:eastAsia="de-DE"/>
        </w:rPr>
      </w:pPr>
    </w:p>
    <w:p w:rsidR="000179BA" w:rsidRPr="000179BA" w:rsidRDefault="000179BA" w:rsidP="00223B6D">
      <w:pPr>
        <w:spacing w:line="276" w:lineRule="auto"/>
        <w:rPr>
          <w:lang w:val="en-US" w:eastAsia="de-DE"/>
        </w:rPr>
      </w:pPr>
      <w:proofErr w:type="spellStart"/>
      <w:proofErr w:type="gramStart"/>
      <w:r w:rsidRPr="000179BA">
        <w:rPr>
          <w:lang w:val="en-US" w:eastAsia="de-DE"/>
        </w:rPr>
        <w:t>Mallat</w:t>
      </w:r>
      <w:proofErr w:type="spellEnd"/>
      <w:r w:rsidRPr="000179BA">
        <w:rPr>
          <w:lang w:val="en-US" w:eastAsia="de-DE"/>
        </w:rPr>
        <w:t xml:space="preserve">, N., Rossi, M. and </w:t>
      </w:r>
      <w:proofErr w:type="spellStart"/>
      <w:r w:rsidRPr="000179BA">
        <w:rPr>
          <w:lang w:val="en-US" w:eastAsia="de-DE"/>
        </w:rPr>
        <w:t>Tuunainen</w:t>
      </w:r>
      <w:proofErr w:type="spellEnd"/>
      <w:r w:rsidRPr="000179BA">
        <w:rPr>
          <w:lang w:val="en-US" w:eastAsia="de-DE"/>
        </w:rPr>
        <w:t xml:space="preserve">, V. K. (2004) Mobile banking services, Communications </w:t>
      </w:r>
      <w:r w:rsidR="00BB39DC">
        <w:rPr>
          <w:lang w:val="en-US" w:eastAsia="de-DE"/>
        </w:rPr>
        <w:t>of the ACM, 47(5), 42-</w:t>
      </w:r>
      <w:r w:rsidRPr="000179BA">
        <w:rPr>
          <w:lang w:val="en-US" w:eastAsia="de-DE"/>
        </w:rPr>
        <w:t>46.</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proofErr w:type="gramStart"/>
      <w:r w:rsidRPr="000179BA">
        <w:rPr>
          <w:lang w:val="en-US" w:eastAsia="de-DE"/>
        </w:rPr>
        <w:t>Mastercard</w:t>
      </w:r>
      <w:proofErr w:type="spellEnd"/>
      <w:r w:rsidRPr="000179BA">
        <w:rPr>
          <w:lang w:val="en-US" w:eastAsia="de-DE"/>
        </w:rPr>
        <w:t xml:space="preserve"> (2013) </w:t>
      </w:r>
      <w:proofErr w:type="spellStart"/>
      <w:r w:rsidRPr="000179BA">
        <w:rPr>
          <w:lang w:val="en-US" w:eastAsia="de-DE"/>
        </w:rPr>
        <w:t>Mastercard</w:t>
      </w:r>
      <w:proofErr w:type="spellEnd"/>
      <w:r w:rsidRPr="000179BA">
        <w:rPr>
          <w:lang w:val="en-US" w:eastAsia="de-DE"/>
        </w:rPr>
        <w:t xml:space="preserve"> </w:t>
      </w:r>
      <w:proofErr w:type="spellStart"/>
      <w:r w:rsidRPr="000179BA">
        <w:rPr>
          <w:lang w:val="en-US" w:eastAsia="de-DE"/>
        </w:rPr>
        <w:t>paypass</w:t>
      </w:r>
      <w:proofErr w:type="spellEnd"/>
      <w:r w:rsidRPr="000179BA">
        <w:rPr>
          <w:lang w:val="en-US" w:eastAsia="de-DE"/>
        </w:rPr>
        <w:t xml:space="preserve"> performance insights, [Online].</w:t>
      </w:r>
      <w:proofErr w:type="gramEnd"/>
      <w:r w:rsidRPr="000179BA">
        <w:rPr>
          <w:lang w:val="en-US" w:eastAsia="de-DE"/>
        </w:rPr>
        <w:t xml:space="preserve"> </w:t>
      </w:r>
      <w:proofErr w:type="gramStart"/>
      <w:r w:rsidRPr="000179BA">
        <w:rPr>
          <w:lang w:val="en-US" w:eastAsia="de-DE"/>
        </w:rPr>
        <w:t>http://mastercard-mobilepartner.com (04.07.2013).</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Nichols, A. (2007) Causal inference with observational dat</w:t>
      </w:r>
      <w:r w:rsidR="00BB39DC">
        <w:rPr>
          <w:lang w:val="en-US" w:eastAsia="de-DE"/>
        </w:rPr>
        <w:t>a, The Stata Journal, 7(4), 507-</w:t>
      </w:r>
      <w:r w:rsidRPr="000179BA">
        <w:rPr>
          <w:lang w:val="en-US" w:eastAsia="de-DE"/>
        </w:rPr>
        <w:t>541.</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proofErr w:type="gramStart"/>
      <w:r w:rsidRPr="000179BA">
        <w:rPr>
          <w:lang w:val="en-US" w:eastAsia="de-DE"/>
        </w:rPr>
        <w:t>Pianalto</w:t>
      </w:r>
      <w:proofErr w:type="spellEnd"/>
      <w:r w:rsidRPr="000179BA">
        <w:rPr>
          <w:lang w:val="en-US" w:eastAsia="de-DE"/>
        </w:rPr>
        <w:t>, S. (2012) Collaborating to Improve the U.S. Payments System, [Online].</w:t>
      </w:r>
      <w:proofErr w:type="gramEnd"/>
      <w:r w:rsidRPr="000179BA">
        <w:rPr>
          <w:lang w:val="en-US" w:eastAsia="de-DE"/>
        </w:rPr>
        <w:t xml:space="preserve"> </w:t>
      </w:r>
      <w:proofErr w:type="gramStart"/>
      <w:r w:rsidRPr="000179BA">
        <w:rPr>
          <w:lang w:val="en-US" w:eastAsia="de-DE"/>
        </w:rPr>
        <w:t>www.clevelandfed.org (22.10.12).</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Rochet</w:t>
      </w:r>
      <w:proofErr w:type="spellEnd"/>
      <w:r w:rsidRPr="000179BA">
        <w:rPr>
          <w:lang w:val="en-US" w:eastAsia="de-DE"/>
        </w:rPr>
        <w:t xml:space="preserve">, J. (2003) </w:t>
      </w:r>
      <w:proofErr w:type="gramStart"/>
      <w:r w:rsidRPr="000179BA">
        <w:rPr>
          <w:lang w:val="en-US" w:eastAsia="de-DE"/>
        </w:rPr>
        <w:t>The</w:t>
      </w:r>
      <w:proofErr w:type="gramEnd"/>
      <w:r w:rsidRPr="000179BA">
        <w:rPr>
          <w:lang w:val="en-US" w:eastAsia="de-DE"/>
        </w:rPr>
        <w:t xml:space="preserve"> theory of interchange fees: A synthesis of recent contributions, Review</w:t>
      </w:r>
      <w:r w:rsidR="00BB39DC">
        <w:rPr>
          <w:lang w:val="en-US" w:eastAsia="de-DE"/>
        </w:rPr>
        <w:t xml:space="preserve"> of Network Economics, 2(2), 97-</w:t>
      </w:r>
      <w:r w:rsidRPr="000179BA">
        <w:rPr>
          <w:lang w:val="en-US" w:eastAsia="de-DE"/>
        </w:rPr>
        <w:t>124.</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Rochet</w:t>
      </w:r>
      <w:proofErr w:type="spellEnd"/>
      <w:r w:rsidRPr="000179BA">
        <w:rPr>
          <w:lang w:val="en-US" w:eastAsia="de-DE"/>
        </w:rPr>
        <w:t xml:space="preserve">, J. and </w:t>
      </w:r>
      <w:proofErr w:type="spellStart"/>
      <w:r w:rsidRPr="000179BA">
        <w:rPr>
          <w:lang w:val="en-US" w:eastAsia="de-DE"/>
        </w:rPr>
        <w:t>Tirole</w:t>
      </w:r>
      <w:proofErr w:type="spellEnd"/>
      <w:r w:rsidRPr="000179BA">
        <w:rPr>
          <w:lang w:val="en-US" w:eastAsia="de-DE"/>
        </w:rPr>
        <w:t>, J. (2002) Cooperation among competitors: Some economics of payment card associations, RAND Jo</w:t>
      </w:r>
      <w:r w:rsidR="00BB39DC">
        <w:rPr>
          <w:lang w:val="en-US" w:eastAsia="de-DE"/>
        </w:rPr>
        <w:t>urnal of Economics, 33(4), 549-</w:t>
      </w:r>
      <w:r w:rsidRPr="000179BA">
        <w:rPr>
          <w:lang w:val="en-US" w:eastAsia="de-DE"/>
        </w:rPr>
        <w:t>570.</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proofErr w:type="gramStart"/>
      <w:r w:rsidRPr="000179BA">
        <w:rPr>
          <w:lang w:val="en-US" w:eastAsia="de-DE"/>
        </w:rPr>
        <w:t>Rochet</w:t>
      </w:r>
      <w:proofErr w:type="spellEnd"/>
      <w:r w:rsidRPr="000179BA">
        <w:rPr>
          <w:lang w:val="en-US" w:eastAsia="de-DE"/>
        </w:rPr>
        <w:t>, J.-C.</w:t>
      </w:r>
      <w:proofErr w:type="gramEnd"/>
      <w:r w:rsidRPr="000179BA">
        <w:rPr>
          <w:lang w:val="en-US" w:eastAsia="de-DE"/>
        </w:rPr>
        <w:t xml:space="preserve"> </w:t>
      </w:r>
      <w:proofErr w:type="gramStart"/>
      <w:r w:rsidRPr="000179BA">
        <w:rPr>
          <w:lang w:val="en-US" w:eastAsia="de-DE"/>
        </w:rPr>
        <w:t>and</w:t>
      </w:r>
      <w:proofErr w:type="gramEnd"/>
      <w:r w:rsidRPr="000179BA">
        <w:rPr>
          <w:lang w:val="en-US" w:eastAsia="de-DE"/>
        </w:rPr>
        <w:t xml:space="preserve"> Wright, J. (2010) Credit card interchange fees, Journal of Ba</w:t>
      </w:r>
      <w:r w:rsidR="00BB39DC">
        <w:rPr>
          <w:lang w:val="en-US" w:eastAsia="de-DE"/>
        </w:rPr>
        <w:t>nking and Finance , 34(8), 1788-</w:t>
      </w:r>
      <w:r w:rsidRPr="000179BA">
        <w:rPr>
          <w:lang w:val="en-US" w:eastAsia="de-DE"/>
        </w:rPr>
        <w:t>1797.</w:t>
      </w:r>
    </w:p>
    <w:p w:rsidR="000179BA" w:rsidRPr="000179BA" w:rsidRDefault="000179BA" w:rsidP="00223B6D">
      <w:pPr>
        <w:spacing w:line="276" w:lineRule="auto"/>
        <w:rPr>
          <w:lang w:val="en-US" w:eastAsia="de-DE"/>
        </w:rPr>
      </w:pPr>
    </w:p>
    <w:p w:rsidR="00BB39DC" w:rsidRDefault="000179BA" w:rsidP="00223B6D">
      <w:pPr>
        <w:spacing w:line="276" w:lineRule="auto"/>
        <w:rPr>
          <w:lang w:val="en-US" w:eastAsia="de-DE"/>
        </w:rPr>
      </w:pPr>
      <w:r w:rsidRPr="000179BA">
        <w:rPr>
          <w:lang w:val="en-US" w:eastAsia="de-DE"/>
        </w:rPr>
        <w:t>Rogers, E. M. (2003) D</w:t>
      </w:r>
      <w:r w:rsidR="00BB39DC">
        <w:rPr>
          <w:lang w:val="en-US" w:eastAsia="de-DE"/>
        </w:rPr>
        <w:t>iffusion of Innovation (5th ed.)</w:t>
      </w:r>
      <w:r w:rsidRPr="000179BA">
        <w:rPr>
          <w:lang w:val="en-US" w:eastAsia="de-DE"/>
        </w:rPr>
        <w:t xml:space="preserve">, </w:t>
      </w:r>
      <w:proofErr w:type="gramStart"/>
      <w:r w:rsidRPr="000179BA">
        <w:rPr>
          <w:lang w:val="en-US" w:eastAsia="de-DE"/>
        </w:rPr>
        <w:t>The</w:t>
      </w:r>
      <w:proofErr w:type="gramEnd"/>
      <w:r w:rsidRPr="000179BA">
        <w:rPr>
          <w:lang w:val="en-US" w:eastAsia="de-DE"/>
        </w:rPr>
        <w:t xml:space="preserve"> Free Press, New York. </w:t>
      </w:r>
    </w:p>
    <w:p w:rsidR="00BB39DC" w:rsidRDefault="00BB39DC"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t>Rosenbaum, P. R. (2002) Observational Stud</w:t>
      </w:r>
      <w:r w:rsidR="00BB39DC">
        <w:rPr>
          <w:lang w:val="en-US" w:eastAsia="de-DE"/>
        </w:rPr>
        <w:t xml:space="preserve">ies, New York: Springer, 2nd </w:t>
      </w:r>
      <w:proofErr w:type="gramStart"/>
      <w:r w:rsidR="00BB39DC">
        <w:rPr>
          <w:lang w:val="en-US" w:eastAsia="de-DE"/>
        </w:rPr>
        <w:t>ed</w:t>
      </w:r>
      <w:proofErr w:type="gramEnd"/>
      <w:r w:rsidRPr="000179BA">
        <w:rPr>
          <w:lang w:val="en-US" w:eastAsia="de-DE"/>
        </w:rPr>
        <w:t>.</w:t>
      </w:r>
    </w:p>
    <w:p w:rsidR="000179BA" w:rsidRPr="000179BA" w:rsidRDefault="000179BA" w:rsidP="00223B6D">
      <w:pPr>
        <w:spacing w:line="276" w:lineRule="auto"/>
        <w:rPr>
          <w:lang w:val="en-US" w:eastAsia="de-DE"/>
        </w:rPr>
      </w:pPr>
    </w:p>
    <w:p w:rsidR="000179BA" w:rsidRDefault="000179BA" w:rsidP="00223B6D">
      <w:pPr>
        <w:spacing w:line="276" w:lineRule="auto"/>
        <w:rPr>
          <w:lang w:val="en-US" w:eastAsia="de-DE"/>
        </w:rPr>
      </w:pPr>
      <w:r w:rsidRPr="000179BA">
        <w:rPr>
          <w:lang w:val="en-US" w:eastAsia="de-DE"/>
        </w:rPr>
        <w:t xml:space="preserve">Rosenbaum, P. R. and Rubin, D. B. (1983) </w:t>
      </w:r>
      <w:proofErr w:type="gramStart"/>
      <w:r w:rsidRPr="000179BA">
        <w:rPr>
          <w:lang w:val="en-US" w:eastAsia="de-DE"/>
        </w:rPr>
        <w:t>The</w:t>
      </w:r>
      <w:proofErr w:type="gramEnd"/>
      <w:r w:rsidRPr="000179BA">
        <w:rPr>
          <w:lang w:val="en-US" w:eastAsia="de-DE"/>
        </w:rPr>
        <w:t xml:space="preserve"> central role of the propensity score in observ</w:t>
      </w:r>
      <w:r w:rsidR="00BB39DC">
        <w:rPr>
          <w:lang w:val="en-US" w:eastAsia="de-DE"/>
        </w:rPr>
        <w:t>a</w:t>
      </w:r>
      <w:r w:rsidRPr="000179BA">
        <w:rPr>
          <w:lang w:val="en-US" w:eastAsia="de-DE"/>
        </w:rPr>
        <w:t>tional studies for causa</w:t>
      </w:r>
      <w:r w:rsidR="00BB39DC">
        <w:rPr>
          <w:lang w:val="en-US" w:eastAsia="de-DE"/>
        </w:rPr>
        <w:t xml:space="preserve">l effects, </w:t>
      </w:r>
      <w:proofErr w:type="spellStart"/>
      <w:r w:rsidR="00BB39DC">
        <w:rPr>
          <w:lang w:val="en-US" w:eastAsia="de-DE"/>
        </w:rPr>
        <w:t>Biometrika</w:t>
      </w:r>
      <w:proofErr w:type="spellEnd"/>
      <w:r w:rsidR="00BB39DC">
        <w:rPr>
          <w:lang w:val="en-US" w:eastAsia="de-DE"/>
        </w:rPr>
        <w:t>, 70(1), 41-</w:t>
      </w:r>
      <w:r w:rsidRPr="000179BA">
        <w:rPr>
          <w:lang w:val="en-US" w:eastAsia="de-DE"/>
        </w:rPr>
        <w:t>55.</w:t>
      </w:r>
    </w:p>
    <w:p w:rsid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Rysman</w:t>
      </w:r>
      <w:proofErr w:type="spellEnd"/>
      <w:r w:rsidRPr="000179BA">
        <w:rPr>
          <w:lang w:val="en-US" w:eastAsia="de-DE"/>
        </w:rPr>
        <w:t xml:space="preserve">, M. (2007) </w:t>
      </w:r>
      <w:proofErr w:type="gramStart"/>
      <w:r w:rsidRPr="000179BA">
        <w:rPr>
          <w:lang w:val="en-US" w:eastAsia="de-DE"/>
        </w:rPr>
        <w:t>An</w:t>
      </w:r>
      <w:proofErr w:type="gramEnd"/>
      <w:r w:rsidRPr="000179BA">
        <w:rPr>
          <w:lang w:val="en-US" w:eastAsia="de-DE"/>
        </w:rPr>
        <w:t xml:space="preserve"> empirical analysis of payment card u</w:t>
      </w:r>
      <w:r w:rsidR="00BB39DC">
        <w:rPr>
          <w:lang w:val="en-US" w:eastAsia="de-DE"/>
        </w:rPr>
        <w:t>sage, Journal of Industrial Eco</w:t>
      </w:r>
      <w:r w:rsidR="00D14C9F">
        <w:rPr>
          <w:lang w:val="en-US" w:eastAsia="de-DE"/>
        </w:rPr>
        <w:t>nomics, 55, 1-</w:t>
      </w:r>
      <w:r w:rsidRPr="000179BA">
        <w:rPr>
          <w:lang w:val="en-US" w:eastAsia="de-DE"/>
        </w:rPr>
        <w:t>36.</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Schuh</w:t>
      </w:r>
      <w:proofErr w:type="spellEnd"/>
      <w:r w:rsidRPr="000179BA">
        <w:rPr>
          <w:lang w:val="en-US" w:eastAsia="de-DE"/>
        </w:rPr>
        <w:t xml:space="preserve">, S. and </w:t>
      </w:r>
      <w:proofErr w:type="spellStart"/>
      <w:r w:rsidRPr="000179BA">
        <w:rPr>
          <w:lang w:val="en-US" w:eastAsia="de-DE"/>
        </w:rPr>
        <w:t>Stavins</w:t>
      </w:r>
      <w:proofErr w:type="spellEnd"/>
      <w:r w:rsidRPr="000179BA">
        <w:rPr>
          <w:lang w:val="en-US" w:eastAsia="de-DE"/>
        </w:rPr>
        <w:t>, J. (2</w:t>
      </w:r>
      <w:r w:rsidR="00BB39DC">
        <w:rPr>
          <w:lang w:val="en-US" w:eastAsia="de-DE"/>
        </w:rPr>
        <w:t>010) Why are (some) consumers (fi</w:t>
      </w:r>
      <w:r w:rsidRPr="000179BA">
        <w:rPr>
          <w:lang w:val="en-US" w:eastAsia="de-DE"/>
        </w:rPr>
        <w:t xml:space="preserve">nally) writing fewer checks? </w:t>
      </w:r>
      <w:proofErr w:type="gramStart"/>
      <w:r w:rsidRPr="000179BA">
        <w:rPr>
          <w:lang w:val="en-US" w:eastAsia="de-DE"/>
        </w:rPr>
        <w:t>The role of payment characteristics,</w:t>
      </w:r>
      <w:r w:rsidR="00BB39DC">
        <w:rPr>
          <w:lang w:val="en-US" w:eastAsia="de-DE"/>
        </w:rPr>
        <w:t xml:space="preserve"> Journal of Banking and Finance, 34(8), 1745-</w:t>
      </w:r>
      <w:r w:rsidRPr="000179BA">
        <w:rPr>
          <w:lang w:val="en-US" w:eastAsia="de-DE"/>
        </w:rPr>
        <w:t>1758.</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Schuh</w:t>
      </w:r>
      <w:proofErr w:type="spellEnd"/>
      <w:r w:rsidRPr="000179BA">
        <w:rPr>
          <w:lang w:val="en-US" w:eastAsia="de-DE"/>
        </w:rPr>
        <w:t xml:space="preserve">, S. and </w:t>
      </w:r>
      <w:proofErr w:type="spellStart"/>
      <w:r w:rsidRPr="000179BA">
        <w:rPr>
          <w:lang w:val="en-US" w:eastAsia="de-DE"/>
        </w:rPr>
        <w:t>Stavins</w:t>
      </w:r>
      <w:proofErr w:type="spellEnd"/>
      <w:r w:rsidRPr="000179BA">
        <w:rPr>
          <w:lang w:val="en-US" w:eastAsia="de-DE"/>
        </w:rPr>
        <w:t xml:space="preserve">, J. (2011) </w:t>
      </w:r>
      <w:proofErr w:type="gramStart"/>
      <w:r w:rsidRPr="000179BA">
        <w:rPr>
          <w:lang w:val="en-US" w:eastAsia="de-DE"/>
        </w:rPr>
        <w:t>How</w:t>
      </w:r>
      <w:proofErr w:type="gramEnd"/>
      <w:r w:rsidRPr="000179BA">
        <w:rPr>
          <w:lang w:val="en-US" w:eastAsia="de-DE"/>
        </w:rPr>
        <w:t xml:space="preserve"> consumers pay: Adoption and use of payments, Working Paper No. 12-2, Federal Reserve Bank of Boston.</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 xml:space="preserve">Simon, J., Smith, K. and West, T. (2009) Price incentives and consumer payment </w:t>
      </w:r>
      <w:proofErr w:type="spellStart"/>
      <w:r w:rsidRPr="000179BA">
        <w:rPr>
          <w:lang w:val="en-US" w:eastAsia="de-DE"/>
        </w:rPr>
        <w:t>behaviour</w:t>
      </w:r>
      <w:proofErr w:type="spellEnd"/>
      <w:r w:rsidRPr="000179BA">
        <w:rPr>
          <w:lang w:val="en-US" w:eastAsia="de-DE"/>
        </w:rPr>
        <w:t>, Research Discussion Paper, Reserve Bank of Australia.</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Venkatesh</w:t>
      </w:r>
      <w:proofErr w:type="spellEnd"/>
      <w:r w:rsidRPr="000179BA">
        <w:rPr>
          <w:lang w:val="en-US" w:eastAsia="de-DE"/>
        </w:rPr>
        <w:t>, V., Morris, M. G., Davis, G. B. and Davis, F. D. (2003) User acceptance of infor</w:t>
      </w:r>
      <w:r w:rsidR="00BB39DC">
        <w:rPr>
          <w:lang w:val="en-US" w:eastAsia="de-DE"/>
        </w:rPr>
        <w:t>mation technology: Toward a unifi</w:t>
      </w:r>
      <w:r w:rsidRPr="000179BA">
        <w:rPr>
          <w:lang w:val="en-US" w:eastAsia="de-DE"/>
        </w:rPr>
        <w:t xml:space="preserve">ed </w:t>
      </w:r>
      <w:r w:rsidR="00BB39DC">
        <w:rPr>
          <w:lang w:val="en-US" w:eastAsia="de-DE"/>
        </w:rPr>
        <w:t>view, MIS Quarterly, 27(2), 425-</w:t>
      </w:r>
      <w:r w:rsidRPr="000179BA">
        <w:rPr>
          <w:lang w:val="en-US" w:eastAsia="de-DE"/>
        </w:rPr>
        <w:t>478.</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Visa USA (2010) Visa U.S.A. Interchange Reimbursement Fees, [Online].</w:t>
      </w:r>
      <w:proofErr w:type="gramEnd"/>
      <w:r w:rsidRPr="000179BA">
        <w:rPr>
          <w:lang w:val="en-US" w:eastAsia="de-DE"/>
        </w:rPr>
        <w:t xml:space="preserve"> </w:t>
      </w:r>
      <w:proofErr w:type="gramStart"/>
      <w:r w:rsidRPr="000179BA">
        <w:rPr>
          <w:lang w:val="en-US" w:eastAsia="de-DE"/>
        </w:rPr>
        <w:t>www.usa.visa.com (26.05.2014).</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r w:rsidRPr="000179BA">
        <w:rPr>
          <w:lang w:val="en-US" w:eastAsia="de-DE"/>
        </w:rPr>
        <w:lastRenderedPageBreak/>
        <w:t xml:space="preserve">von </w:t>
      </w:r>
      <w:proofErr w:type="spellStart"/>
      <w:r w:rsidRPr="000179BA">
        <w:rPr>
          <w:lang w:val="en-US" w:eastAsia="de-DE"/>
        </w:rPr>
        <w:t>Kalckreuth</w:t>
      </w:r>
      <w:proofErr w:type="spellEnd"/>
      <w:r w:rsidRPr="000179BA">
        <w:rPr>
          <w:lang w:val="en-US" w:eastAsia="de-DE"/>
        </w:rPr>
        <w:t xml:space="preserve">, U., Schmidt, T. and </w:t>
      </w:r>
      <w:proofErr w:type="spellStart"/>
      <w:r w:rsidRPr="000179BA">
        <w:rPr>
          <w:lang w:val="en-US" w:eastAsia="de-DE"/>
        </w:rPr>
        <w:t>Stix</w:t>
      </w:r>
      <w:proofErr w:type="spellEnd"/>
      <w:r w:rsidRPr="000179BA">
        <w:rPr>
          <w:lang w:val="en-US" w:eastAsia="de-DE"/>
        </w:rPr>
        <w:t xml:space="preserve">, H. (2009) Choosing and using payment instruments: Evidence from German micro-data, Working Paper Series No. 1144, European Central Bank, [Online]. </w:t>
      </w:r>
      <w:proofErr w:type="gramStart"/>
      <w:r w:rsidRPr="000179BA">
        <w:rPr>
          <w:lang w:val="en-US" w:eastAsia="de-DE"/>
        </w:rPr>
        <w:t>www.ecb.europa.eu (12.04.2011).</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Wakamori</w:t>
      </w:r>
      <w:proofErr w:type="spellEnd"/>
      <w:r w:rsidRPr="000179BA">
        <w:rPr>
          <w:lang w:val="en-US" w:eastAsia="de-DE"/>
        </w:rPr>
        <w:t xml:space="preserve">, N. and </w:t>
      </w:r>
      <w:proofErr w:type="spellStart"/>
      <w:r w:rsidRPr="000179BA">
        <w:rPr>
          <w:lang w:val="en-US" w:eastAsia="de-DE"/>
        </w:rPr>
        <w:t>Welte</w:t>
      </w:r>
      <w:proofErr w:type="spellEnd"/>
      <w:r w:rsidRPr="000179BA">
        <w:rPr>
          <w:lang w:val="en-US" w:eastAsia="de-DE"/>
        </w:rPr>
        <w:t xml:space="preserve">, A. (2012) Why Do Shoppers Use Cash? </w:t>
      </w:r>
      <w:proofErr w:type="gramStart"/>
      <w:r w:rsidRPr="000179BA">
        <w:rPr>
          <w:lang w:val="en-US" w:eastAsia="de-DE"/>
        </w:rPr>
        <w:t>Evidence from Shopping Diary Data, Working Paper 2012-24, Bank of Canada.</w:t>
      </w:r>
      <w:proofErr w:type="gramEnd"/>
    </w:p>
    <w:p w:rsidR="000179BA" w:rsidRPr="000179BA" w:rsidRDefault="000179BA" w:rsidP="00223B6D">
      <w:pPr>
        <w:spacing w:line="276" w:lineRule="auto"/>
        <w:rPr>
          <w:lang w:val="en-US" w:eastAsia="de-DE"/>
        </w:rPr>
      </w:pPr>
    </w:p>
    <w:p w:rsidR="000179BA" w:rsidRPr="000179BA" w:rsidRDefault="00BB39DC" w:rsidP="00223B6D">
      <w:pPr>
        <w:spacing w:line="276" w:lineRule="auto"/>
        <w:rPr>
          <w:lang w:val="en-US" w:eastAsia="de-DE"/>
        </w:rPr>
      </w:pPr>
      <w:r>
        <w:rPr>
          <w:lang w:val="en-US" w:eastAsia="de-DE"/>
        </w:rPr>
        <w:t>Wang, Y. (2008) Determinants aff</w:t>
      </w:r>
      <w:r w:rsidR="000179BA" w:rsidRPr="000179BA">
        <w:rPr>
          <w:lang w:val="en-US" w:eastAsia="de-DE"/>
        </w:rPr>
        <w:t>ecting consumer adoption of</w:t>
      </w:r>
      <w:r>
        <w:rPr>
          <w:lang w:val="en-US" w:eastAsia="de-DE"/>
        </w:rPr>
        <w:t xml:space="preserve"> contactless credit card: An em</w:t>
      </w:r>
      <w:r w:rsidR="000179BA" w:rsidRPr="000179BA">
        <w:rPr>
          <w:lang w:val="en-US" w:eastAsia="de-DE"/>
        </w:rPr>
        <w:t>pirical study, Cyber Psyc</w:t>
      </w:r>
      <w:r>
        <w:rPr>
          <w:lang w:val="en-US" w:eastAsia="de-DE"/>
        </w:rPr>
        <w:t>hology and Behavior, 11(6), 687-</w:t>
      </w:r>
      <w:r w:rsidR="000179BA" w:rsidRPr="000179BA">
        <w:rPr>
          <w:lang w:val="en-US" w:eastAsia="de-DE"/>
        </w:rPr>
        <w:t>689.</w:t>
      </w:r>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gramStart"/>
      <w:r w:rsidRPr="000179BA">
        <w:rPr>
          <w:lang w:val="en-US" w:eastAsia="de-DE"/>
        </w:rPr>
        <w:t>Weiner, S. and Wright, J. (2005) Interchange fees in various countries: Developments and deter-</w:t>
      </w:r>
      <w:proofErr w:type="spellStart"/>
      <w:r w:rsidRPr="000179BA">
        <w:rPr>
          <w:lang w:val="en-US" w:eastAsia="de-DE"/>
        </w:rPr>
        <w:t>minants</w:t>
      </w:r>
      <w:proofErr w:type="spellEnd"/>
      <w:r w:rsidRPr="000179BA">
        <w:rPr>
          <w:lang w:val="en-US" w:eastAsia="de-DE"/>
        </w:rPr>
        <w:t>, Revie</w:t>
      </w:r>
      <w:r w:rsidR="00BB39DC">
        <w:rPr>
          <w:lang w:val="en-US" w:eastAsia="de-DE"/>
        </w:rPr>
        <w:t>w of Network Economics, 4, 290-</w:t>
      </w:r>
      <w:r w:rsidRPr="000179BA">
        <w:rPr>
          <w:lang w:val="en-US" w:eastAsia="de-DE"/>
        </w:rPr>
        <w:t>323.</w:t>
      </w:r>
      <w:proofErr w:type="gramEnd"/>
    </w:p>
    <w:p w:rsidR="000179BA" w:rsidRPr="000179BA" w:rsidRDefault="000179BA" w:rsidP="00223B6D">
      <w:pPr>
        <w:spacing w:line="276" w:lineRule="auto"/>
        <w:rPr>
          <w:lang w:val="en-US" w:eastAsia="de-DE"/>
        </w:rPr>
      </w:pPr>
    </w:p>
    <w:p w:rsidR="000179BA" w:rsidRPr="000179BA" w:rsidRDefault="000179BA" w:rsidP="00223B6D">
      <w:pPr>
        <w:spacing w:line="276" w:lineRule="auto"/>
        <w:rPr>
          <w:lang w:val="en-US" w:eastAsia="de-DE"/>
        </w:rPr>
      </w:pPr>
      <w:proofErr w:type="spellStart"/>
      <w:r w:rsidRPr="000179BA">
        <w:rPr>
          <w:lang w:val="en-US" w:eastAsia="de-DE"/>
        </w:rPr>
        <w:t>Wiechert</w:t>
      </w:r>
      <w:proofErr w:type="spellEnd"/>
      <w:r w:rsidRPr="000179BA">
        <w:rPr>
          <w:lang w:val="en-US" w:eastAsia="de-DE"/>
        </w:rPr>
        <w:t xml:space="preserve">, T. J. P. (2009) </w:t>
      </w:r>
      <w:proofErr w:type="gramStart"/>
      <w:r w:rsidRPr="000179BA">
        <w:rPr>
          <w:lang w:val="en-US" w:eastAsia="de-DE"/>
        </w:rPr>
        <w:t>The</w:t>
      </w:r>
      <w:proofErr w:type="gramEnd"/>
      <w:r w:rsidRPr="000179BA">
        <w:rPr>
          <w:lang w:val="en-US" w:eastAsia="de-DE"/>
        </w:rPr>
        <w:t xml:space="preserve"> Economics of Contactless P</w:t>
      </w:r>
      <w:r w:rsidR="00BB39DC">
        <w:rPr>
          <w:lang w:val="en-US" w:eastAsia="de-DE"/>
        </w:rPr>
        <w:t>ayment: An Analysis of the Finan</w:t>
      </w:r>
      <w:r w:rsidRPr="000179BA">
        <w:rPr>
          <w:lang w:val="en-US" w:eastAsia="de-DE"/>
        </w:rPr>
        <w:t xml:space="preserve">cial Impact of Near Field Communication on Stationary Retailers, Dissertation, University of </w:t>
      </w:r>
      <w:proofErr w:type="spellStart"/>
      <w:r w:rsidRPr="000179BA">
        <w:rPr>
          <w:lang w:val="en-US" w:eastAsia="de-DE"/>
        </w:rPr>
        <w:t>St.Gallen</w:t>
      </w:r>
      <w:proofErr w:type="spellEnd"/>
      <w:r w:rsidRPr="000179BA">
        <w:rPr>
          <w:lang w:val="en-US" w:eastAsia="de-DE"/>
        </w:rPr>
        <w:t>.</w:t>
      </w:r>
    </w:p>
    <w:p w:rsidR="000179BA" w:rsidRPr="000179BA" w:rsidRDefault="000179BA" w:rsidP="00223B6D">
      <w:pPr>
        <w:spacing w:line="276" w:lineRule="auto"/>
        <w:rPr>
          <w:lang w:val="en-US" w:eastAsia="de-DE"/>
        </w:rPr>
      </w:pPr>
    </w:p>
    <w:p w:rsidR="00590334" w:rsidRDefault="00BB39DC" w:rsidP="00223B6D">
      <w:pPr>
        <w:spacing w:line="276" w:lineRule="auto"/>
        <w:rPr>
          <w:lang w:val="en-US" w:eastAsia="de-DE"/>
        </w:rPr>
      </w:pPr>
      <w:proofErr w:type="gramStart"/>
      <w:r>
        <w:rPr>
          <w:lang w:val="en-US" w:eastAsia="de-DE"/>
        </w:rPr>
        <w:t>Yu, C.-S.</w:t>
      </w:r>
      <w:proofErr w:type="gramEnd"/>
      <w:r>
        <w:rPr>
          <w:lang w:val="en-US" w:eastAsia="de-DE"/>
        </w:rPr>
        <w:t xml:space="preserve"> (2012) Factors aff</w:t>
      </w:r>
      <w:r w:rsidR="000179BA" w:rsidRPr="000179BA">
        <w:rPr>
          <w:lang w:val="en-US" w:eastAsia="de-DE"/>
        </w:rPr>
        <w:t>ecting individuals to adopt mobile b</w:t>
      </w:r>
      <w:r>
        <w:rPr>
          <w:lang w:val="en-US" w:eastAsia="de-DE"/>
        </w:rPr>
        <w:t>anking: empirical e</w:t>
      </w:r>
      <w:r w:rsidR="000179BA" w:rsidRPr="000179BA">
        <w:rPr>
          <w:lang w:val="en-US" w:eastAsia="de-DE"/>
        </w:rPr>
        <w:t xml:space="preserve">vidence from the </w:t>
      </w:r>
      <w:proofErr w:type="spellStart"/>
      <w:r w:rsidR="000179BA" w:rsidRPr="000179BA">
        <w:rPr>
          <w:lang w:val="en-US" w:eastAsia="de-DE"/>
        </w:rPr>
        <w:t>utaut</w:t>
      </w:r>
      <w:proofErr w:type="spellEnd"/>
      <w:r w:rsidR="000179BA" w:rsidRPr="000179BA">
        <w:rPr>
          <w:lang w:val="en-US" w:eastAsia="de-DE"/>
        </w:rPr>
        <w:t xml:space="preserve"> model, Journal of Electronic</w:t>
      </w:r>
      <w:r w:rsidR="00BF1D33">
        <w:rPr>
          <w:lang w:val="en-US" w:eastAsia="de-DE"/>
        </w:rPr>
        <w:t xml:space="preserve"> Commerce Research</w:t>
      </w:r>
      <w:r>
        <w:rPr>
          <w:lang w:val="en-US" w:eastAsia="de-DE"/>
        </w:rPr>
        <w:t>, 13(2), 104-</w:t>
      </w:r>
      <w:r w:rsidR="000179BA" w:rsidRPr="000179BA">
        <w:rPr>
          <w:lang w:val="en-US" w:eastAsia="de-DE"/>
        </w:rPr>
        <w:t>121.</w:t>
      </w:r>
    </w:p>
    <w:sectPr w:rsidR="00590334" w:rsidSect="00FE2B43">
      <w:headerReference w:type="default" r:id="rId14"/>
      <w:footerReference w:type="default" r:id="rId15"/>
      <w:pgSz w:w="11906" w:h="16838"/>
      <w:pgMar w:top="1134" w:right="1134" w:bottom="1134" w:left="1134" w:header="709" w:footer="709" w:gutter="0"/>
      <w:pgNumType w:start="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902" w:rsidRDefault="009A6902" w:rsidP="001916D8">
      <w:r>
        <w:separator/>
      </w:r>
    </w:p>
  </w:endnote>
  <w:endnote w:type="continuationSeparator" w:id="0">
    <w:p w:rsidR="009A6902" w:rsidRDefault="009A6902" w:rsidP="001916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113984"/>
      <w:docPartObj>
        <w:docPartGallery w:val="Page Numbers (Bottom of Page)"/>
        <w:docPartUnique/>
      </w:docPartObj>
    </w:sdtPr>
    <w:sdtEndPr>
      <w:rPr>
        <w:sz w:val="20"/>
        <w:szCs w:val="20"/>
      </w:rPr>
    </w:sdtEndPr>
    <w:sdtContent>
      <w:p w:rsidR="00FE2B43" w:rsidRPr="00FE2B43" w:rsidRDefault="006A23B6">
        <w:pPr>
          <w:pStyle w:val="Zpat"/>
          <w:jc w:val="center"/>
          <w:rPr>
            <w:sz w:val="20"/>
            <w:szCs w:val="20"/>
          </w:rPr>
        </w:pPr>
        <w:r w:rsidRPr="00FE2B43">
          <w:rPr>
            <w:sz w:val="20"/>
            <w:szCs w:val="20"/>
          </w:rPr>
          <w:fldChar w:fldCharType="begin"/>
        </w:r>
        <w:r w:rsidR="00FE2B43" w:rsidRPr="00FE2B43">
          <w:rPr>
            <w:sz w:val="20"/>
            <w:szCs w:val="20"/>
          </w:rPr>
          <w:instrText>PAGE   \* MERGEFORMAT</w:instrText>
        </w:r>
        <w:r w:rsidRPr="00FE2B43">
          <w:rPr>
            <w:sz w:val="20"/>
            <w:szCs w:val="20"/>
          </w:rPr>
          <w:fldChar w:fldCharType="separate"/>
        </w:r>
        <w:r w:rsidR="009F390A" w:rsidRPr="009F390A">
          <w:rPr>
            <w:noProof/>
            <w:sz w:val="20"/>
            <w:szCs w:val="20"/>
            <w:lang w:val="cs-CZ"/>
          </w:rPr>
          <w:t>70</w:t>
        </w:r>
        <w:r w:rsidRPr="00FE2B43">
          <w:rPr>
            <w:sz w:val="20"/>
            <w:szCs w:val="20"/>
          </w:rPr>
          <w:fldChar w:fldCharType="end"/>
        </w:r>
      </w:p>
    </w:sdtContent>
  </w:sdt>
  <w:p w:rsidR="00EC18E3" w:rsidRPr="003304E5" w:rsidRDefault="00EC18E3">
    <w:pPr>
      <w:pStyle w:val="Zpat"/>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902" w:rsidRDefault="009A6902" w:rsidP="001916D8">
      <w:r>
        <w:separator/>
      </w:r>
    </w:p>
  </w:footnote>
  <w:footnote w:type="continuationSeparator" w:id="0">
    <w:p w:rsidR="009A6902" w:rsidRDefault="009A6902" w:rsidP="001916D8">
      <w:r>
        <w:continuationSeparator/>
      </w:r>
    </w:p>
  </w:footnote>
  <w:footnote w:id="1">
    <w:p w:rsidR="00EC18E3" w:rsidRPr="00DC6F6B" w:rsidRDefault="00EC18E3">
      <w:pPr>
        <w:pStyle w:val="Textpoznpodarou"/>
        <w:rPr>
          <w:lang w:val="en-US"/>
        </w:rPr>
      </w:pPr>
      <w:r>
        <w:rPr>
          <w:rStyle w:val="Znakapoznpodarou"/>
        </w:rPr>
        <w:footnoteRef/>
      </w:r>
      <w:r w:rsidRPr="00DC6F6B">
        <w:rPr>
          <w:lang w:val="en-US"/>
        </w:rPr>
        <w:t xml:space="preserve"> Contactles</w:t>
      </w:r>
      <w:r>
        <w:rPr>
          <w:lang w:val="en-US"/>
        </w:rPr>
        <w:t>s payment is based on the near-fi</w:t>
      </w:r>
      <w:r w:rsidRPr="00DC6F6B">
        <w:rPr>
          <w:lang w:val="en-US"/>
        </w:rPr>
        <w:t>eld communication (NFC) technology, which is a standard radio communication technology that allows to connect devices within 4 cm range by waving or tapping the objects without provid</w:t>
      </w:r>
      <w:r>
        <w:rPr>
          <w:lang w:val="en-US"/>
        </w:rPr>
        <w:t>ing a signature or PIN for verifi</w:t>
      </w:r>
      <w:r w:rsidRPr="00DC6F6B">
        <w:rPr>
          <w:lang w:val="en-US"/>
        </w:rPr>
        <w:t>cation. The feature is usually embedded in conventional payment cards, but also in other devices such as mobile phones and key fobs. For instance, contactless credit cards allow making instantaneous payment transactions by just waving the card over the card reader. The terms 'NFC' and 'contactless' are used interchangeably in this study.</w:t>
      </w:r>
    </w:p>
  </w:footnote>
  <w:footnote w:id="2">
    <w:p w:rsidR="00EC18E3" w:rsidRPr="003304E5" w:rsidRDefault="00EC18E3">
      <w:pPr>
        <w:pStyle w:val="Textpoznpodarou"/>
        <w:rPr>
          <w:lang w:val="en-US"/>
        </w:rPr>
      </w:pPr>
      <w:r>
        <w:rPr>
          <w:rStyle w:val="Znakapoznpodarou"/>
        </w:rPr>
        <w:footnoteRef/>
      </w:r>
      <w:r>
        <w:rPr>
          <w:lang w:val="en-US"/>
        </w:rPr>
        <w:t xml:space="preserve"> I refer to </w:t>
      </w:r>
      <w:proofErr w:type="spellStart"/>
      <w:r w:rsidRPr="00DC6F6B">
        <w:rPr>
          <w:lang w:val="en-US"/>
        </w:rPr>
        <w:t>Rochet</w:t>
      </w:r>
      <w:proofErr w:type="spellEnd"/>
      <w:r w:rsidRPr="00DC6F6B">
        <w:rPr>
          <w:lang w:val="en-US"/>
        </w:rPr>
        <w:t xml:space="preserve"> and Wright, 2010; Evans and </w:t>
      </w:r>
      <w:proofErr w:type="spellStart"/>
      <w:r w:rsidRPr="00DC6F6B">
        <w:rPr>
          <w:lang w:val="en-US"/>
        </w:rPr>
        <w:t>Schmalensee</w:t>
      </w:r>
      <w:proofErr w:type="spellEnd"/>
      <w:r w:rsidRPr="00DC6F6B">
        <w:rPr>
          <w:lang w:val="en-US"/>
        </w:rPr>
        <w:t xml:space="preserve">, 2005; </w:t>
      </w:r>
      <w:proofErr w:type="spellStart"/>
      <w:r w:rsidRPr="00DC6F6B">
        <w:rPr>
          <w:lang w:val="en-US"/>
        </w:rPr>
        <w:t>Rochet</w:t>
      </w:r>
      <w:proofErr w:type="spellEnd"/>
      <w:r w:rsidRPr="00DC6F6B">
        <w:rPr>
          <w:lang w:val="en-US"/>
        </w:rPr>
        <w:t xml:space="preserve"> and </w:t>
      </w:r>
      <w:proofErr w:type="spellStart"/>
      <w:r w:rsidRPr="00DC6F6B">
        <w:rPr>
          <w:lang w:val="en-US"/>
        </w:rPr>
        <w:t>Tirole</w:t>
      </w:r>
      <w:proofErr w:type="spellEnd"/>
      <w:r>
        <w:rPr>
          <w:lang w:val="en-US"/>
        </w:rPr>
        <w:t xml:space="preserve">, 2002 and </w:t>
      </w:r>
      <w:proofErr w:type="spellStart"/>
      <w:r>
        <w:rPr>
          <w:lang w:val="en-US"/>
        </w:rPr>
        <w:t>Rochet</w:t>
      </w:r>
      <w:proofErr w:type="spellEnd"/>
      <w:r>
        <w:rPr>
          <w:lang w:val="en-US"/>
        </w:rPr>
        <w:t>, 2003</w:t>
      </w:r>
      <w:r w:rsidRPr="00DC6F6B">
        <w:rPr>
          <w:lang w:val="en-US"/>
        </w:rPr>
        <w:t xml:space="preserve"> among others for a theoretical consideration of the interchange fee regulation and to Jaeger et al. </w:t>
      </w:r>
      <w:r w:rsidRPr="003304E5">
        <w:rPr>
          <w:lang w:val="en-US"/>
        </w:rPr>
        <w:t>(2011) with special focus on Switzerland.</w:t>
      </w:r>
    </w:p>
  </w:footnote>
  <w:footnote w:id="3">
    <w:p w:rsidR="00EC18E3" w:rsidRPr="00DC6F6B" w:rsidRDefault="00EC18E3">
      <w:pPr>
        <w:pStyle w:val="Textpoznpodarou"/>
        <w:rPr>
          <w:lang w:val="en-US"/>
        </w:rPr>
      </w:pPr>
      <w:r>
        <w:rPr>
          <w:rStyle w:val="Znakapoznpodarou"/>
        </w:rPr>
        <w:footnoteRef/>
      </w:r>
      <w:r w:rsidRPr="00DC6F6B">
        <w:rPr>
          <w:lang w:val="en-US"/>
        </w:rPr>
        <w:t xml:space="preserve"> Avoiding the cost increase for retailers entails growth in sales or reduction in oper</w:t>
      </w:r>
      <w:r>
        <w:rPr>
          <w:lang w:val="en-US"/>
        </w:rPr>
        <w:t>ation costs. If both are not suffi</w:t>
      </w:r>
      <w:r w:rsidRPr="00DC6F6B">
        <w:rPr>
          <w:lang w:val="en-US"/>
        </w:rPr>
        <w:t>cient, an overall card fees reduction or a discount for micro payment transactions is more appropriate (</w:t>
      </w:r>
      <w:proofErr w:type="spellStart"/>
      <w:r w:rsidRPr="00DC6F6B">
        <w:rPr>
          <w:lang w:val="en-US"/>
        </w:rPr>
        <w:t>Wiechert</w:t>
      </w:r>
      <w:proofErr w:type="spellEnd"/>
      <w:r w:rsidRPr="00DC6F6B">
        <w:rPr>
          <w:lang w:val="en-US"/>
        </w:rPr>
        <w:t>, 2009).</w:t>
      </w:r>
    </w:p>
  </w:footnote>
  <w:footnote w:id="4">
    <w:p w:rsidR="00EC18E3" w:rsidRPr="00DC6F6B" w:rsidRDefault="00EC18E3">
      <w:pPr>
        <w:pStyle w:val="Textpoznpodarou"/>
        <w:rPr>
          <w:lang w:val="en-US"/>
        </w:rPr>
      </w:pPr>
      <w:r>
        <w:rPr>
          <w:rStyle w:val="Znakapoznpodarou"/>
        </w:rPr>
        <w:footnoteRef/>
      </w:r>
      <w:r w:rsidRPr="00DC6F6B">
        <w:rPr>
          <w:lang w:val="en-US"/>
        </w:rPr>
        <w:t xml:space="preserve"> In July 2010, the Dodd-Frank Wall Street Reform was enacted capping interchange fees of debit cards at 0.12 USD per transaction compared </w:t>
      </w:r>
      <w:r>
        <w:rPr>
          <w:lang w:val="en-US"/>
        </w:rPr>
        <w:t>to 0.44 USD before the reform (</w:t>
      </w:r>
      <w:r w:rsidRPr="00DC6F6B">
        <w:rPr>
          <w:lang w:val="en-US"/>
        </w:rPr>
        <w:t>Board of Governor</w:t>
      </w:r>
      <w:r>
        <w:rPr>
          <w:lang w:val="en-US"/>
        </w:rPr>
        <w:t>s of the Federal Reserve System</w:t>
      </w:r>
      <w:r w:rsidRPr="00DC6F6B">
        <w:rPr>
          <w:lang w:val="en-US"/>
        </w:rPr>
        <w:t>, 2011). The interchange fee of credit cards was roughly around 3 percent of the transaction amount in 2010 (Visa USA, 2010).</w:t>
      </w:r>
    </w:p>
  </w:footnote>
  <w:footnote w:id="5">
    <w:p w:rsidR="00EC18E3" w:rsidRPr="00646EF2" w:rsidRDefault="00EC18E3">
      <w:pPr>
        <w:pStyle w:val="Textpoznpodarou"/>
        <w:rPr>
          <w:lang w:val="en-US"/>
        </w:rPr>
      </w:pPr>
      <w:r>
        <w:rPr>
          <w:rStyle w:val="Znakapoznpodarou"/>
        </w:rPr>
        <w:footnoteRef/>
      </w:r>
      <w:r w:rsidRPr="00646EF2">
        <w:rPr>
          <w:lang w:val="en-US"/>
        </w:rPr>
        <w:t xml:space="preserve"> </w:t>
      </w:r>
      <w:proofErr w:type="gramStart"/>
      <w:r w:rsidRPr="00646EF2">
        <w:rPr>
          <w:lang w:val="en-US"/>
        </w:rPr>
        <w:t>With average cost</w:t>
      </w:r>
      <w:r>
        <w:rPr>
          <w:lang w:val="en-US"/>
        </w:rPr>
        <w:t>s</w:t>
      </w:r>
      <w:r w:rsidRPr="00646EF2">
        <w:rPr>
          <w:lang w:val="en-US"/>
        </w:rPr>
        <w:t xml:space="preserve"> of 0.70 USD per debit card transaction</w:t>
      </w:r>
      <w:r>
        <w:rPr>
          <w:lang w:val="en-US"/>
        </w:rPr>
        <w:t>.</w:t>
      </w:r>
      <w:proofErr w:type="gramEnd"/>
    </w:p>
  </w:footnote>
  <w:footnote w:id="6">
    <w:p w:rsidR="00EC18E3" w:rsidRPr="00646EF2" w:rsidRDefault="00EC18E3">
      <w:pPr>
        <w:pStyle w:val="Textpoznpodarou"/>
        <w:rPr>
          <w:lang w:val="en-US"/>
        </w:rPr>
      </w:pPr>
      <w:r>
        <w:rPr>
          <w:rStyle w:val="Znakapoznpodarou"/>
        </w:rPr>
        <w:footnoteRef/>
      </w:r>
      <w:r>
        <w:rPr>
          <w:lang w:val="en-US"/>
        </w:rPr>
        <w:t xml:space="preserve"> The </w:t>
      </w:r>
      <w:proofErr w:type="spellStart"/>
      <w:r>
        <w:rPr>
          <w:lang w:val="en-US"/>
        </w:rPr>
        <w:t>Mastercard-PayPass</w:t>
      </w:r>
      <w:proofErr w:type="spellEnd"/>
      <w:r>
        <w:rPr>
          <w:lang w:val="en-US"/>
        </w:rPr>
        <w:t xml:space="preserve"> </w:t>
      </w:r>
      <w:r w:rsidRPr="00646EF2">
        <w:rPr>
          <w:lang w:val="en-US"/>
        </w:rPr>
        <w:t>payment card is NFC-enabled.</w:t>
      </w:r>
    </w:p>
  </w:footnote>
  <w:footnote w:id="7">
    <w:p w:rsidR="00EC18E3" w:rsidRPr="00512F1A" w:rsidRDefault="00EC18E3">
      <w:pPr>
        <w:pStyle w:val="Textpoznpodarou"/>
        <w:rPr>
          <w:lang w:val="en-US"/>
        </w:rPr>
      </w:pPr>
      <w:r>
        <w:rPr>
          <w:rStyle w:val="Znakapoznpodarou"/>
        </w:rPr>
        <w:footnoteRef/>
      </w:r>
      <w:r w:rsidRPr="00512F1A">
        <w:rPr>
          <w:lang w:val="en-US"/>
        </w:rPr>
        <w:t xml:space="preserve"> See Foster et al. (2013) for a comprehensive description of the data.</w:t>
      </w:r>
    </w:p>
  </w:footnote>
  <w:footnote w:id="8">
    <w:p w:rsidR="00EC18E3" w:rsidRPr="00512F1A" w:rsidRDefault="00EC18E3">
      <w:pPr>
        <w:pStyle w:val="Textpoznpodarou"/>
        <w:rPr>
          <w:lang w:val="en-US"/>
        </w:rPr>
      </w:pPr>
      <w:r>
        <w:rPr>
          <w:rStyle w:val="Znakapoznpodarou"/>
        </w:rPr>
        <w:footnoteRef/>
      </w:r>
      <w:r w:rsidRPr="00512F1A">
        <w:rPr>
          <w:lang w:val="en-US"/>
        </w:rPr>
        <w:t xml:space="preserve"> These include check, bank account number payment, online banking bill payment, money order, traveler's check, debit, </w:t>
      </w:r>
      <w:proofErr w:type="gramStart"/>
      <w:r w:rsidRPr="00512F1A">
        <w:rPr>
          <w:lang w:val="en-US"/>
        </w:rPr>
        <w:t>credit</w:t>
      </w:r>
      <w:proofErr w:type="gramEnd"/>
      <w:r w:rsidRPr="00512F1A">
        <w:rPr>
          <w:lang w:val="en-US"/>
        </w:rPr>
        <w:t xml:space="preserve"> and stored-value cards.</w:t>
      </w:r>
    </w:p>
  </w:footnote>
  <w:footnote w:id="9">
    <w:p w:rsidR="00EC18E3" w:rsidRPr="00512F1A" w:rsidRDefault="00EC18E3">
      <w:pPr>
        <w:pStyle w:val="Textpoznpodarou"/>
        <w:rPr>
          <w:lang w:val="en-US"/>
        </w:rPr>
      </w:pPr>
      <w:r>
        <w:rPr>
          <w:rStyle w:val="Znakapoznpodarou"/>
        </w:rPr>
        <w:footnoteRef/>
      </w:r>
      <w:r w:rsidRPr="00512F1A">
        <w:rPr>
          <w:lang w:val="en-US"/>
        </w:rPr>
        <w:t xml:space="preserve"> These include items purchased in food and grocery stores, superstores, warehouses, club stores, drug or convenience stores, gas stations, department stores, electronics, hardware and appliances stores.</w:t>
      </w:r>
    </w:p>
  </w:footnote>
  <w:footnote w:id="10">
    <w:p w:rsidR="00EC18E3" w:rsidRPr="00512F1A" w:rsidRDefault="00EC18E3">
      <w:pPr>
        <w:pStyle w:val="Textpoznpodarou"/>
        <w:rPr>
          <w:lang w:val="en-US"/>
        </w:rPr>
      </w:pPr>
      <w:r>
        <w:rPr>
          <w:rStyle w:val="Znakapoznpodarou"/>
        </w:rPr>
        <w:footnoteRef/>
      </w:r>
      <w:r w:rsidRPr="00512F1A">
        <w:rPr>
          <w:lang w:val="en-US"/>
        </w:rPr>
        <w:t xml:space="preserve"> These include services paid for restaurants, bars, fast food and beverage, transportation and tolls, medical, dental, and </w:t>
      </w:r>
      <w:r>
        <w:rPr>
          <w:lang w:val="en-US"/>
        </w:rPr>
        <w:t>fi</w:t>
      </w:r>
      <w:r w:rsidRPr="00512F1A">
        <w:rPr>
          <w:lang w:val="en-US"/>
        </w:rPr>
        <w:t>tness, education and child care, personal care (e.g. hair), recreation, entertainment and travel, maintenance and repairs, other professional services (business, legal etc.) and charitable donations.</w:t>
      </w:r>
    </w:p>
  </w:footnote>
  <w:footnote w:id="11">
    <w:p w:rsidR="00EC18E3" w:rsidRPr="00512F1A" w:rsidRDefault="00EC18E3">
      <w:pPr>
        <w:pStyle w:val="Textpoznpodarou"/>
        <w:rPr>
          <w:lang w:val="en-US"/>
        </w:rPr>
      </w:pPr>
      <w:r>
        <w:rPr>
          <w:rStyle w:val="Znakapoznpodarou"/>
        </w:rPr>
        <w:footnoteRef/>
      </w:r>
      <w:r w:rsidRPr="00512F1A">
        <w:rPr>
          <w:lang w:val="en-US"/>
        </w:rPr>
        <w:t xml:space="preserve"> The total number of POS payments encompasses cash, check, money order, debit, credit and stored-value card payments.</w:t>
      </w:r>
    </w:p>
  </w:footnote>
  <w:footnote w:id="12">
    <w:p w:rsidR="00EC18E3" w:rsidRPr="00512F1A" w:rsidRDefault="00EC18E3">
      <w:pPr>
        <w:pStyle w:val="Textpoznpodarou"/>
        <w:rPr>
          <w:lang w:val="en-US"/>
        </w:rPr>
      </w:pPr>
      <w:r>
        <w:rPr>
          <w:rStyle w:val="Znakapoznpodarou"/>
        </w:rPr>
        <w:footnoteRef/>
      </w:r>
      <w:r w:rsidRPr="00512F1A">
        <w:rPr>
          <w:lang w:val="en-US"/>
        </w:rPr>
        <w:t xml:space="preserve"> </w:t>
      </w:r>
      <w:proofErr w:type="gramStart"/>
      <w:r w:rsidRPr="00512F1A">
        <w:rPr>
          <w:lang w:val="en-US"/>
        </w:rPr>
        <w:t>Such as cash, stored-value cards and checks.</w:t>
      </w:r>
      <w:proofErr w:type="gramEnd"/>
    </w:p>
  </w:footnote>
  <w:footnote w:id="13">
    <w:p w:rsidR="00EC18E3" w:rsidRPr="00013870" w:rsidRDefault="00EC18E3">
      <w:pPr>
        <w:pStyle w:val="Textpoznpodarou"/>
        <w:rPr>
          <w:lang w:val="en-US"/>
        </w:rPr>
      </w:pPr>
      <w:r>
        <w:rPr>
          <w:rStyle w:val="Znakapoznpodarou"/>
        </w:rPr>
        <w:footnoteRef/>
      </w:r>
      <w:r w:rsidRPr="00013870">
        <w:rPr>
          <w:lang w:val="en-US"/>
        </w:rPr>
        <w:t xml:space="preserve"> Other payment methods used at the POS are cash, stored-value cards, checks and money order.</w:t>
      </w:r>
    </w:p>
  </w:footnote>
  <w:footnote w:id="14">
    <w:p w:rsidR="00EC18E3" w:rsidRPr="00013870" w:rsidRDefault="00EC18E3">
      <w:pPr>
        <w:pStyle w:val="Textpoznpodarou"/>
        <w:rPr>
          <w:lang w:val="en-US"/>
        </w:rPr>
      </w:pPr>
      <w:r>
        <w:rPr>
          <w:rStyle w:val="Znakapoznpodarou"/>
        </w:rPr>
        <w:footnoteRef/>
      </w:r>
      <w:r w:rsidRPr="00013870">
        <w:rPr>
          <w:lang w:val="en-US"/>
        </w:rPr>
        <w:t xml:space="preserve"> One might also consider the fact that the payment market is inherently characterized by a special market structure, i.e. the tw</w:t>
      </w:r>
      <w:r>
        <w:rPr>
          <w:lang w:val="en-US"/>
        </w:rPr>
        <w:t>o-sided market, where network eff</w:t>
      </w:r>
      <w:r w:rsidRPr="00013870">
        <w:rPr>
          <w:lang w:val="en-US"/>
        </w:rPr>
        <w:t>ect</w:t>
      </w:r>
      <w:r>
        <w:rPr>
          <w:lang w:val="en-US"/>
        </w:rPr>
        <w:t>s are predominant. To put it diff</w:t>
      </w:r>
      <w:r w:rsidRPr="00013870">
        <w:rPr>
          <w:lang w:val="en-US"/>
        </w:rPr>
        <w:t>erently, the value of contactless payment for a consumer depends on the number of others using it. If the critical level of users had not been exceeded, the merchants would not in</w:t>
      </w:r>
      <w:r>
        <w:rPr>
          <w:lang w:val="en-US"/>
        </w:rPr>
        <w:t>vest in payment terminals and off</w:t>
      </w:r>
      <w:r w:rsidRPr="00013870">
        <w:rPr>
          <w:lang w:val="en-US"/>
        </w:rPr>
        <w:t>er this payment method due to small economies of scale. This is typically referred to as the chicken-and-egg problem. Hence, the adoption and usage of contactl</w:t>
      </w:r>
      <w:r>
        <w:rPr>
          <w:lang w:val="en-US"/>
        </w:rPr>
        <w:t>ess payment may face feedback eff</w:t>
      </w:r>
      <w:r w:rsidRPr="00013870">
        <w:rPr>
          <w:lang w:val="en-US"/>
        </w:rPr>
        <w:t>ects, implying that consumers will actually choose contactless payment conditional on the number of terminals available that allow deploying this technology. However, this issue cannot be addressed adequately in the estimation due to data restrictions.</w:t>
      </w:r>
    </w:p>
  </w:footnote>
  <w:footnote w:id="15">
    <w:p w:rsidR="00EC18E3" w:rsidRPr="00D72ECB" w:rsidRDefault="00EC18E3" w:rsidP="00D72ECB">
      <w:pPr>
        <w:pStyle w:val="Textpoznpodarou"/>
        <w:rPr>
          <w:lang w:val="en-US"/>
        </w:rPr>
      </w:pPr>
      <w:r>
        <w:rPr>
          <w:rStyle w:val="Znakapoznpodarou"/>
        </w:rPr>
        <w:footnoteRef/>
      </w:r>
      <w:r w:rsidRPr="00D72ECB">
        <w:rPr>
          <w:lang w:val="en-US"/>
        </w:rPr>
        <w:t xml:space="preserve"> Only with strong distribu</w:t>
      </w:r>
      <w:r>
        <w:rPr>
          <w:lang w:val="en-US"/>
        </w:rPr>
        <w:t xml:space="preserve">tional assumptions on </w:t>
      </w:r>
      <m:oMath>
        <m:sSub>
          <m:sSubPr>
            <m:ctrlPr>
              <w:rPr>
                <w:rFonts w:ascii="Cambria Math" w:hAnsi="Cambria Math"/>
                <w:i/>
                <w:sz w:val="24"/>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Pr>
          <w:lang w:val="en-US"/>
        </w:rPr>
        <w:t xml:space="preserve"> and </w:t>
      </w:r>
      <w:proofErr w:type="spellStart"/>
      <w:r w:rsidRPr="00D72ECB">
        <w:rPr>
          <w:lang w:val="en-US"/>
        </w:rPr>
        <w:t>i</w:t>
      </w:r>
      <w:proofErr w:type="spellEnd"/>
      <w:r w:rsidRPr="00D72ECB">
        <w:rPr>
          <w:lang w:val="en-US"/>
        </w:rPr>
        <w:t xml:space="preserve">, i.e. both parameters are normally distributed </w:t>
      </w:r>
      <w:r>
        <w:rPr>
          <w:lang w:val="en-US"/>
        </w:rPr>
        <w:t>implying the eff</w:t>
      </w:r>
      <w:r w:rsidRPr="00D72ECB">
        <w:rPr>
          <w:lang w:val="en-US"/>
        </w:rPr>
        <w:t xml:space="preserve">ect of the treatment </w:t>
      </w:r>
      <m:oMath>
        <m:sSub>
          <m:sSubPr>
            <m:ctrlPr>
              <w:rPr>
                <w:rFonts w:ascii="Cambria Math" w:hAnsi="Cambria Math"/>
                <w:i/>
                <w:sz w:val="24"/>
                <w:lang w:val="en-US" w:eastAsia="de-DE"/>
              </w:rPr>
            </m:ctrlPr>
          </m:sSubPr>
          <m:e>
            <m:r>
              <w:rPr>
                <w:rFonts w:ascii="Cambria Math" w:hAnsi="Cambria Math"/>
                <w:lang w:val="en-US" w:eastAsia="de-DE"/>
              </w:rPr>
              <m:t>I</m:t>
            </m:r>
          </m:e>
          <m:sub>
            <m:r>
              <w:rPr>
                <w:rFonts w:ascii="Cambria Math" w:hAnsi="Cambria Math"/>
                <w:lang w:val="en-US" w:eastAsia="de-DE"/>
              </w:rPr>
              <m:t>ij</m:t>
            </m:r>
          </m:sub>
        </m:sSub>
      </m:oMath>
      <w:r w:rsidRPr="00D72ECB">
        <w:rPr>
          <w:lang w:val="en-US"/>
        </w:rPr>
        <w:t xml:space="preserve"> does not vary a</w:t>
      </w:r>
      <w:r>
        <w:rPr>
          <w:lang w:val="en-US"/>
        </w:rPr>
        <w:t>cross individuals, the causal eff</w:t>
      </w:r>
      <w:r w:rsidRPr="00D72ECB">
        <w:rPr>
          <w:lang w:val="en-US"/>
        </w:rPr>
        <w:t>ect may be consistently</w:t>
      </w:r>
      <w:r>
        <w:rPr>
          <w:lang w:val="en-US"/>
        </w:rPr>
        <w:t xml:space="preserve"> </w:t>
      </w:r>
      <w:r w:rsidRPr="00D72ECB">
        <w:rPr>
          <w:lang w:val="en-US"/>
        </w:rPr>
        <w:t>estimated by OLS (Nichols, 2007). However, one can hardly think of such a homogeneous e</w:t>
      </w:r>
      <w:r>
        <w:rPr>
          <w:lang w:val="en-US"/>
        </w:rPr>
        <w:t>ff</w:t>
      </w:r>
      <w:r w:rsidRPr="00D72ECB">
        <w:rPr>
          <w:lang w:val="en-US"/>
        </w:rPr>
        <w:t>ect in reality.</w:t>
      </w:r>
    </w:p>
  </w:footnote>
  <w:footnote w:id="16">
    <w:p w:rsidR="00EC18E3" w:rsidRPr="00D72ECB" w:rsidRDefault="00EC18E3">
      <w:pPr>
        <w:pStyle w:val="Textpoznpodarou"/>
        <w:rPr>
          <w:lang w:val="en-US"/>
        </w:rPr>
      </w:pPr>
      <w:r>
        <w:rPr>
          <w:rStyle w:val="Znakapoznpodarou"/>
        </w:rPr>
        <w:footnoteRef/>
      </w:r>
      <w:r w:rsidRPr="00D72ECB">
        <w:rPr>
          <w:lang w:val="en-US"/>
        </w:rPr>
        <w:t xml:space="preserve"> Some other </w:t>
      </w:r>
      <w:proofErr w:type="spellStart"/>
      <w:r w:rsidRPr="00D72ECB">
        <w:rPr>
          <w:lang w:val="en-US"/>
        </w:rPr>
        <w:t>endogeneity</w:t>
      </w:r>
      <w:proofErr w:type="spellEnd"/>
      <w:r w:rsidRPr="00D72ECB">
        <w:rPr>
          <w:lang w:val="en-US"/>
        </w:rPr>
        <w:t xml:space="preserve"> issues may arise since it is far from clear-cut whether the perceived characteristics of contactless payment lead to more spending or is it that the gained positive experiences of spending by contactless cards induce the perceived characteristics to r</w:t>
      </w:r>
      <w:r>
        <w:rPr>
          <w:lang w:val="en-US"/>
        </w:rPr>
        <w:t>a</w:t>
      </w:r>
      <w:r w:rsidRPr="00D72ECB">
        <w:rPr>
          <w:lang w:val="en-US"/>
        </w:rPr>
        <w:t>ise.</w:t>
      </w:r>
    </w:p>
  </w:footnote>
  <w:footnote w:id="17">
    <w:p w:rsidR="00EC18E3" w:rsidRPr="00D72ECB" w:rsidRDefault="00EC18E3">
      <w:pPr>
        <w:pStyle w:val="Textpoznpodarou"/>
        <w:rPr>
          <w:lang w:val="en-US"/>
        </w:rPr>
      </w:pPr>
      <w:r>
        <w:rPr>
          <w:rStyle w:val="Znakapoznpodarou"/>
        </w:rPr>
        <w:footnoteRef/>
      </w:r>
      <w:r w:rsidRPr="00D72ECB">
        <w:rPr>
          <w:lang w:val="en-US"/>
        </w:rPr>
        <w:t xml:space="preserve"> Other payment methods used at the POS are cash, stored-value cards, checks and money order.</w:t>
      </w:r>
    </w:p>
  </w:footnote>
  <w:footnote w:id="18">
    <w:p w:rsidR="00EC18E3" w:rsidRPr="007973A5" w:rsidRDefault="00EC18E3">
      <w:pPr>
        <w:pStyle w:val="Textpoznpodarou"/>
        <w:rPr>
          <w:lang w:val="en-US"/>
        </w:rPr>
      </w:pPr>
      <w:r>
        <w:rPr>
          <w:rStyle w:val="Znakapoznpodarou"/>
        </w:rPr>
        <w:footnoteRef/>
      </w:r>
      <w:r w:rsidRPr="007973A5">
        <w:rPr>
          <w:lang w:val="en-US"/>
        </w:rPr>
        <w:t xml:space="preserve"> For more details on the theoretical background, see section 2.</w:t>
      </w:r>
    </w:p>
  </w:footnote>
  <w:footnote w:id="19">
    <w:p w:rsidR="00EC18E3" w:rsidRPr="008E73FC" w:rsidRDefault="00EC18E3">
      <w:pPr>
        <w:pStyle w:val="Textpoznpodarou"/>
        <w:rPr>
          <w:lang w:val="en-US"/>
        </w:rPr>
      </w:pPr>
      <w:r>
        <w:rPr>
          <w:rStyle w:val="Znakapoznpodarou"/>
        </w:rPr>
        <w:footnoteRef/>
      </w:r>
      <w:r w:rsidRPr="008E73FC">
        <w:rPr>
          <w:lang w:val="en-US"/>
        </w:rPr>
        <w:t xml:space="preserve"> A bias reduction below 3 or 5 percent</w:t>
      </w:r>
      <w:r>
        <w:rPr>
          <w:lang w:val="en-US"/>
        </w:rPr>
        <w:t xml:space="preserve"> is considered to be sufficient (</w:t>
      </w:r>
      <w:proofErr w:type="spellStart"/>
      <w:r w:rsidRPr="008E73FC">
        <w:rPr>
          <w:lang w:val="en-US"/>
        </w:rPr>
        <w:t>Caliendo</w:t>
      </w:r>
      <w:proofErr w:type="spellEnd"/>
      <w:r w:rsidRPr="008E73FC">
        <w:rPr>
          <w:lang w:val="en-US"/>
        </w:rPr>
        <w:t xml:space="preserve"> and </w:t>
      </w:r>
      <w:proofErr w:type="spellStart"/>
      <w:r w:rsidRPr="008E73FC">
        <w:rPr>
          <w:lang w:val="en-US"/>
        </w:rPr>
        <w:t>Kop</w:t>
      </w:r>
      <w:r>
        <w:rPr>
          <w:lang w:val="en-US"/>
        </w:rPr>
        <w:t>einig</w:t>
      </w:r>
      <w:proofErr w:type="spellEnd"/>
      <w:r>
        <w:rPr>
          <w:lang w:val="en-US"/>
        </w:rPr>
        <w:t xml:space="preserve">, 2005). </w:t>
      </w:r>
    </w:p>
  </w:footnote>
  <w:footnote w:id="20">
    <w:p w:rsidR="00EC18E3" w:rsidRPr="007347B3" w:rsidRDefault="00EC18E3">
      <w:pPr>
        <w:pStyle w:val="Textpoznpodarou"/>
        <w:rPr>
          <w:lang w:val="en-US"/>
        </w:rPr>
      </w:pPr>
      <w:r>
        <w:rPr>
          <w:rStyle w:val="Znakapoznpodarou"/>
        </w:rPr>
        <w:footnoteRef/>
      </w:r>
      <w:r w:rsidRPr="007347B3">
        <w:rPr>
          <w:lang w:val="en-US"/>
        </w:rPr>
        <w:t xml:space="preserve"> The standard errors are not available for the ATE.</w:t>
      </w:r>
    </w:p>
  </w:footnote>
  <w:footnote w:id="21">
    <w:p w:rsidR="00EC18E3" w:rsidRPr="00B41112" w:rsidRDefault="00EC18E3">
      <w:pPr>
        <w:pStyle w:val="Textpoznpodarou"/>
        <w:rPr>
          <w:lang w:val="en-US"/>
        </w:rPr>
      </w:pPr>
      <w:r>
        <w:rPr>
          <w:rStyle w:val="Znakapoznpodarou"/>
        </w:rPr>
        <w:footnoteRef/>
      </w:r>
      <w:r w:rsidRPr="00B41112">
        <w:rPr>
          <w:lang w:val="en-US"/>
        </w:rPr>
        <w:t xml:space="preserve"> </w:t>
      </w:r>
      <w:proofErr w:type="gramStart"/>
      <w:r w:rsidRPr="00B41112">
        <w:rPr>
          <w:lang w:val="en-US"/>
        </w:rPr>
        <w:t>Assuming an interchange fee of 0.12 USD per transaction.</w:t>
      </w:r>
      <w:proofErr w:type="gramEnd"/>
    </w:p>
  </w:footnote>
  <w:footnote w:id="22">
    <w:p w:rsidR="00EC18E3" w:rsidRPr="0021581F" w:rsidRDefault="00EC18E3">
      <w:pPr>
        <w:pStyle w:val="Textpoznpodarou"/>
        <w:rPr>
          <w:lang w:val="en-US"/>
        </w:rPr>
      </w:pPr>
      <w:r>
        <w:rPr>
          <w:rStyle w:val="Znakapoznpodarou"/>
        </w:rPr>
        <w:footnoteRef/>
      </w:r>
      <w:r w:rsidRPr="0021581F">
        <w:rPr>
          <w:lang w:val="en-US"/>
        </w:rPr>
        <w:t xml:space="preserve"> Note </w:t>
      </w:r>
      <w:proofErr w:type="gramStart"/>
      <w:r w:rsidRPr="0021581F">
        <w:rPr>
          <w:lang w:val="en-US"/>
        </w:rPr>
        <w:t xml:space="preserve">that </w:t>
      </w:r>
      <m:oMath>
        <w:proofErr w:type="gramEnd"/>
        <m:r>
          <w:rPr>
            <w:rFonts w:ascii="Cambria Math" w:hAnsi="Cambria Math"/>
          </w:rPr>
          <m:t>Γ</m:t>
        </m:r>
        <m:r>
          <w:rPr>
            <w:rFonts w:ascii="Cambria Math" w:hAnsi="Cambria Math"/>
            <w:lang w:val="en-US"/>
          </w:rPr>
          <m:t>=</m:t>
        </m:r>
        <m:sSup>
          <m:sSupPr>
            <m:ctrlPr>
              <w:rPr>
                <w:rFonts w:ascii="Cambria Math" w:hAnsi="Cambria Math"/>
                <w:i/>
              </w:rPr>
            </m:ctrlPr>
          </m:sSupPr>
          <m:e>
            <m:r>
              <w:rPr>
                <w:rFonts w:ascii="Cambria Math" w:hAnsi="Cambria Math"/>
              </w:rPr>
              <m:t>e</m:t>
            </m:r>
          </m:e>
          <m:sup>
            <m:r>
              <w:rPr>
                <w:rFonts w:ascii="Cambria Math" w:hAnsi="Cambria Math"/>
              </w:rPr>
              <m:t>γ</m:t>
            </m:r>
          </m:sup>
        </m:sSup>
      </m:oMath>
      <w:r w:rsidRPr="0021581F">
        <w:rPr>
          <w:rFonts w:eastAsiaTheme="minorEastAsia"/>
          <w:lang w:val="en-US"/>
        </w:rPr>
        <w:t>.</w:t>
      </w:r>
    </w:p>
  </w:footnote>
  <w:footnote w:id="23">
    <w:p w:rsidR="00EC18E3" w:rsidRPr="006E5A9A" w:rsidRDefault="00EC18E3">
      <w:pPr>
        <w:pStyle w:val="Textpoznpodarou"/>
        <w:rPr>
          <w:lang w:val="en-US"/>
        </w:rPr>
      </w:pPr>
      <w:r>
        <w:rPr>
          <w:rStyle w:val="Znakapoznpodarou"/>
        </w:rPr>
        <w:footnoteRef/>
      </w:r>
      <w:r w:rsidRPr="006E5A9A">
        <w:rPr>
          <w:lang w:val="en-US"/>
        </w:rPr>
        <w:t xml:space="preserve"> </w:t>
      </w:r>
      <w:proofErr w:type="gramStart"/>
      <w:r w:rsidRPr="006E5A9A">
        <w:rPr>
          <w:lang w:val="en-US"/>
        </w:rPr>
        <w:t>Given the fee of 0.12 USD and the reduction of 0.03 USD per transaction (cf. Board of Governor</w:t>
      </w:r>
      <w:r>
        <w:rPr>
          <w:lang w:val="en-US"/>
        </w:rPr>
        <w:t>s of the Federal Reserve System</w:t>
      </w:r>
      <w:r w:rsidRPr="006E5A9A">
        <w:rPr>
          <w:lang w:val="en-US"/>
        </w:rPr>
        <w:t xml:space="preserve">, 2011; </w:t>
      </w:r>
      <w:proofErr w:type="spellStart"/>
      <w:r w:rsidRPr="006E5A9A">
        <w:rPr>
          <w:lang w:val="en-US"/>
        </w:rPr>
        <w:t>Borzekowski</w:t>
      </w:r>
      <w:proofErr w:type="spellEnd"/>
      <w:r w:rsidRPr="006E5A9A">
        <w:rPr>
          <w:lang w:val="en-US"/>
        </w:rPr>
        <w:t xml:space="preserve"> and Kiser, 2008).</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3B6D" w:rsidRPr="00223B6D" w:rsidRDefault="00223B6D">
    <w:pPr>
      <w:pStyle w:val="Zhlav"/>
      <w:rPr>
        <w:rFonts w:ascii="Times New Roman" w:hAnsi="Times New Roman" w:cs="Times New Roman"/>
        <w:sz w:val="24"/>
        <w:szCs w:val="24"/>
        <w:lang w:val="en-US"/>
      </w:rPr>
    </w:pPr>
    <w:r w:rsidRPr="00223B6D">
      <w:rPr>
        <w:rFonts w:ascii="Times New Roman" w:eastAsia="Calibri" w:hAnsi="Times New Roman" w:cs="Times New Roman"/>
        <w:sz w:val="24"/>
        <w:szCs w:val="24"/>
        <w:lang w:val="en-US"/>
      </w:rPr>
      <w:t>International Journal of Economic Sciences</w:t>
    </w:r>
    <w:r w:rsidRPr="00223B6D">
      <w:rPr>
        <w:rFonts w:ascii="Times New Roman" w:hAnsi="Times New Roman" w:cs="Times New Roman"/>
        <w:sz w:val="24"/>
        <w:szCs w:val="24"/>
      </w:rPr>
      <w:ptab w:relativeTo="margin" w:alignment="center" w:leader="none"/>
    </w:r>
    <w:r w:rsidRPr="00223B6D">
      <w:rPr>
        <w:rFonts w:ascii="Times New Roman" w:hAnsi="Times New Roman" w:cs="Times New Roman"/>
        <w:sz w:val="24"/>
        <w:szCs w:val="24"/>
      </w:rPr>
      <w:ptab w:relativeTo="margin" w:alignment="right" w:leader="none"/>
    </w:r>
    <w:r w:rsidRPr="00223B6D">
      <w:rPr>
        <w:rFonts w:ascii="Times New Roman" w:eastAsia="Calibri" w:hAnsi="Times New Roman" w:cs="Times New Roman"/>
        <w:sz w:val="24"/>
        <w:szCs w:val="24"/>
        <w:lang w:val="en-US"/>
      </w:rPr>
      <w:t xml:space="preserve">Vol. III / No. 4 / 2014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72F24"/>
    <w:multiLevelType w:val="hybridMultilevel"/>
    <w:tmpl w:val="6E984BE4"/>
    <w:lvl w:ilvl="0" w:tplc="61B010DE">
      <w:start w:val="10"/>
      <w:numFmt w:val="bullet"/>
      <w:lvlText w:val=""/>
      <w:lvlJc w:val="left"/>
      <w:pPr>
        <w:ind w:left="720" w:hanging="360"/>
      </w:pPr>
      <w:rPr>
        <w:rFonts w:ascii="Symbol" w:eastAsiaTheme="minorHAnsi" w:hAnsi="Symbol"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nsid w:val="19836090"/>
    <w:multiLevelType w:val="multilevel"/>
    <w:tmpl w:val="9160BBF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2A192E2E"/>
    <w:multiLevelType w:val="multilevel"/>
    <w:tmpl w:val="0807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3">
    <w:nsid w:val="2C520765"/>
    <w:multiLevelType w:val="hybridMultilevel"/>
    <w:tmpl w:val="982C6706"/>
    <w:lvl w:ilvl="0" w:tplc="157E081C">
      <w:start w:val="1"/>
      <w:numFmt w:val="bullet"/>
      <w:pStyle w:val="Odstavecseseznamem"/>
      <w:lvlText w:val=""/>
      <w:lvlJc w:val="left"/>
      <w:pPr>
        <w:ind w:left="1440" w:hanging="360"/>
      </w:pPr>
      <w:rPr>
        <w:rFonts w:ascii="Wingdings" w:hAnsi="Wingdings" w:hint="default"/>
      </w:rPr>
    </w:lvl>
    <w:lvl w:ilvl="1" w:tplc="08070003" w:tentative="1">
      <w:start w:val="1"/>
      <w:numFmt w:val="bullet"/>
      <w:lvlText w:val="o"/>
      <w:lvlJc w:val="left"/>
      <w:pPr>
        <w:ind w:left="2160" w:hanging="360"/>
      </w:pPr>
      <w:rPr>
        <w:rFonts w:ascii="Courier New" w:hAnsi="Courier New" w:cs="Courier New" w:hint="default"/>
      </w:rPr>
    </w:lvl>
    <w:lvl w:ilvl="2" w:tplc="08070005" w:tentative="1">
      <w:start w:val="1"/>
      <w:numFmt w:val="bullet"/>
      <w:lvlText w:val=""/>
      <w:lvlJc w:val="left"/>
      <w:pPr>
        <w:ind w:left="2880" w:hanging="360"/>
      </w:pPr>
      <w:rPr>
        <w:rFonts w:ascii="Wingdings" w:hAnsi="Wingdings" w:hint="default"/>
      </w:rPr>
    </w:lvl>
    <w:lvl w:ilvl="3" w:tplc="08070001" w:tentative="1">
      <w:start w:val="1"/>
      <w:numFmt w:val="bullet"/>
      <w:lvlText w:val=""/>
      <w:lvlJc w:val="left"/>
      <w:pPr>
        <w:ind w:left="3600" w:hanging="360"/>
      </w:pPr>
      <w:rPr>
        <w:rFonts w:ascii="Symbol" w:hAnsi="Symbol" w:hint="default"/>
      </w:rPr>
    </w:lvl>
    <w:lvl w:ilvl="4" w:tplc="08070003" w:tentative="1">
      <w:start w:val="1"/>
      <w:numFmt w:val="bullet"/>
      <w:lvlText w:val="o"/>
      <w:lvlJc w:val="left"/>
      <w:pPr>
        <w:ind w:left="4320" w:hanging="360"/>
      </w:pPr>
      <w:rPr>
        <w:rFonts w:ascii="Courier New" w:hAnsi="Courier New" w:cs="Courier New" w:hint="default"/>
      </w:rPr>
    </w:lvl>
    <w:lvl w:ilvl="5" w:tplc="08070005" w:tentative="1">
      <w:start w:val="1"/>
      <w:numFmt w:val="bullet"/>
      <w:lvlText w:val=""/>
      <w:lvlJc w:val="left"/>
      <w:pPr>
        <w:ind w:left="5040" w:hanging="360"/>
      </w:pPr>
      <w:rPr>
        <w:rFonts w:ascii="Wingdings" w:hAnsi="Wingdings" w:hint="default"/>
      </w:rPr>
    </w:lvl>
    <w:lvl w:ilvl="6" w:tplc="08070001" w:tentative="1">
      <w:start w:val="1"/>
      <w:numFmt w:val="bullet"/>
      <w:lvlText w:val=""/>
      <w:lvlJc w:val="left"/>
      <w:pPr>
        <w:ind w:left="5760" w:hanging="360"/>
      </w:pPr>
      <w:rPr>
        <w:rFonts w:ascii="Symbol" w:hAnsi="Symbol" w:hint="default"/>
      </w:rPr>
    </w:lvl>
    <w:lvl w:ilvl="7" w:tplc="08070003" w:tentative="1">
      <w:start w:val="1"/>
      <w:numFmt w:val="bullet"/>
      <w:lvlText w:val="o"/>
      <w:lvlJc w:val="left"/>
      <w:pPr>
        <w:ind w:left="6480" w:hanging="360"/>
      </w:pPr>
      <w:rPr>
        <w:rFonts w:ascii="Courier New" w:hAnsi="Courier New" w:cs="Courier New" w:hint="default"/>
      </w:rPr>
    </w:lvl>
    <w:lvl w:ilvl="8" w:tplc="08070005" w:tentative="1">
      <w:start w:val="1"/>
      <w:numFmt w:val="bullet"/>
      <w:lvlText w:val=""/>
      <w:lvlJc w:val="left"/>
      <w:pPr>
        <w:ind w:left="7200" w:hanging="360"/>
      </w:pPr>
      <w:rPr>
        <w:rFonts w:ascii="Wingdings" w:hAnsi="Wingdings" w:hint="default"/>
      </w:rPr>
    </w:lvl>
  </w:abstractNum>
  <w:abstractNum w:abstractNumId="4">
    <w:nsid w:val="33CA7A0C"/>
    <w:multiLevelType w:val="hybridMultilevel"/>
    <w:tmpl w:val="C19627DC"/>
    <w:lvl w:ilvl="0" w:tplc="564C1848">
      <w:numFmt w:val="bullet"/>
      <w:lvlText w:val=""/>
      <w:lvlJc w:val="left"/>
      <w:pPr>
        <w:ind w:left="720" w:hanging="360"/>
      </w:pPr>
      <w:rPr>
        <w:rFonts w:ascii="Symbol" w:eastAsiaTheme="minorHAnsi" w:hAnsi="Symbol"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nsid w:val="7AE86476"/>
    <w:multiLevelType w:val="multilevel"/>
    <w:tmpl w:val="29B4312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rPr>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5"/>
  </w:num>
  <w:num w:numId="3">
    <w:abstractNumId w:val="5"/>
  </w:num>
  <w:num w:numId="4">
    <w:abstractNumId w:val="5"/>
  </w:num>
  <w:num w:numId="5">
    <w:abstractNumId w:val="5"/>
  </w:num>
  <w:num w:numId="6">
    <w:abstractNumId w:val="3"/>
  </w:num>
  <w:num w:numId="7">
    <w:abstractNumId w:val="5"/>
  </w:num>
  <w:num w:numId="8">
    <w:abstractNumId w:val="5"/>
  </w:num>
  <w:num w:numId="9">
    <w:abstractNumId w:val="5"/>
  </w:num>
  <w:num w:numId="10">
    <w:abstractNumId w:val="5"/>
  </w:num>
  <w:num w:numId="11">
    <w:abstractNumId w:val="5"/>
  </w:num>
  <w:num w:numId="12">
    <w:abstractNumId w:val="3"/>
  </w:num>
  <w:num w:numId="13">
    <w:abstractNumId w:val="5"/>
  </w:num>
  <w:num w:numId="14">
    <w:abstractNumId w:val="5"/>
  </w:num>
  <w:num w:numId="15">
    <w:abstractNumId w:val="5"/>
  </w:num>
  <w:num w:numId="16">
    <w:abstractNumId w:val="5"/>
  </w:num>
  <w:num w:numId="17">
    <w:abstractNumId w:val="5"/>
  </w:num>
  <w:num w:numId="18">
    <w:abstractNumId w:val="3"/>
  </w:num>
  <w:num w:numId="19">
    <w:abstractNumId w:val="5"/>
  </w:num>
  <w:num w:numId="20">
    <w:abstractNumId w:val="5"/>
  </w:num>
  <w:num w:numId="21">
    <w:abstractNumId w:val="5"/>
  </w:num>
  <w:num w:numId="22">
    <w:abstractNumId w:val="5"/>
  </w:num>
  <w:num w:numId="23">
    <w:abstractNumId w:val="5"/>
  </w:num>
  <w:num w:numId="24">
    <w:abstractNumId w:val="3"/>
  </w:num>
  <w:num w:numId="25">
    <w:abstractNumId w:val="5"/>
  </w:num>
  <w:num w:numId="26">
    <w:abstractNumId w:val="5"/>
  </w:num>
  <w:num w:numId="27">
    <w:abstractNumId w:val="3"/>
  </w:num>
  <w:num w:numId="28">
    <w:abstractNumId w:val="5"/>
  </w:num>
  <w:num w:numId="29">
    <w:abstractNumId w:val="5"/>
  </w:num>
  <w:num w:numId="30">
    <w:abstractNumId w:val="5"/>
  </w:num>
  <w:num w:numId="31">
    <w:abstractNumId w:val="5"/>
  </w:num>
  <w:num w:numId="32">
    <w:abstractNumId w:val="5"/>
  </w:num>
  <w:num w:numId="33">
    <w:abstractNumId w:val="3"/>
  </w:num>
  <w:num w:numId="34">
    <w:abstractNumId w:val="3"/>
  </w:num>
  <w:num w:numId="35">
    <w:abstractNumId w:val="5"/>
  </w:num>
  <w:num w:numId="36">
    <w:abstractNumId w:val="5"/>
  </w:num>
  <w:num w:numId="37">
    <w:abstractNumId w:val="5"/>
  </w:num>
  <w:num w:numId="38">
    <w:abstractNumId w:val="5"/>
  </w:num>
  <w:num w:numId="39">
    <w:abstractNumId w:val="3"/>
  </w:num>
  <w:num w:numId="40">
    <w:abstractNumId w:val="3"/>
  </w:num>
  <w:num w:numId="41">
    <w:abstractNumId w:val="5"/>
  </w:num>
  <w:num w:numId="42">
    <w:abstractNumId w:val="5"/>
  </w:num>
  <w:num w:numId="43">
    <w:abstractNumId w:val="5"/>
  </w:num>
  <w:num w:numId="44">
    <w:abstractNumId w:val="5"/>
  </w:num>
  <w:num w:numId="45">
    <w:abstractNumId w:val="3"/>
  </w:num>
  <w:num w:numId="46">
    <w:abstractNumId w:val="1"/>
  </w:num>
  <w:num w:numId="47">
    <w:abstractNumId w:val="5"/>
  </w:num>
  <w:num w:numId="48">
    <w:abstractNumId w:val="2"/>
  </w:num>
  <w:num w:numId="49">
    <w:abstractNumId w:val="4"/>
  </w:num>
  <w:num w:numId="5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DC3280"/>
    <w:rsid w:val="00013870"/>
    <w:rsid w:val="000179BA"/>
    <w:rsid w:val="000209A0"/>
    <w:rsid w:val="00031AD1"/>
    <w:rsid w:val="00055009"/>
    <w:rsid w:val="00064E19"/>
    <w:rsid w:val="000826E3"/>
    <w:rsid w:val="00084871"/>
    <w:rsid w:val="000A33A2"/>
    <w:rsid w:val="000A4127"/>
    <w:rsid w:val="000B1B35"/>
    <w:rsid w:val="000C0CFA"/>
    <w:rsid w:val="000F2F8C"/>
    <w:rsid w:val="000F4CFB"/>
    <w:rsid w:val="001016E0"/>
    <w:rsid w:val="001075D0"/>
    <w:rsid w:val="001139C0"/>
    <w:rsid w:val="00133B9B"/>
    <w:rsid w:val="00140941"/>
    <w:rsid w:val="00143563"/>
    <w:rsid w:val="00146218"/>
    <w:rsid w:val="00166E5F"/>
    <w:rsid w:val="00171C38"/>
    <w:rsid w:val="00173835"/>
    <w:rsid w:val="001916D8"/>
    <w:rsid w:val="001916DB"/>
    <w:rsid w:val="00193812"/>
    <w:rsid w:val="00195EDC"/>
    <w:rsid w:val="001A039F"/>
    <w:rsid w:val="001C7857"/>
    <w:rsid w:val="001D2829"/>
    <w:rsid w:val="001E2129"/>
    <w:rsid w:val="001E32D1"/>
    <w:rsid w:val="001E7131"/>
    <w:rsid w:val="001F2947"/>
    <w:rsid w:val="001F55E5"/>
    <w:rsid w:val="00213943"/>
    <w:rsid w:val="0021581F"/>
    <w:rsid w:val="00223B6D"/>
    <w:rsid w:val="00237475"/>
    <w:rsid w:val="00240CB2"/>
    <w:rsid w:val="00264D11"/>
    <w:rsid w:val="00297E33"/>
    <w:rsid w:val="002A35A5"/>
    <w:rsid w:val="002B0D99"/>
    <w:rsid w:val="002C2A14"/>
    <w:rsid w:val="00303B04"/>
    <w:rsid w:val="0031252D"/>
    <w:rsid w:val="00313188"/>
    <w:rsid w:val="003161DC"/>
    <w:rsid w:val="00324E34"/>
    <w:rsid w:val="003304E5"/>
    <w:rsid w:val="00380287"/>
    <w:rsid w:val="003A1943"/>
    <w:rsid w:val="003B5795"/>
    <w:rsid w:val="0040442C"/>
    <w:rsid w:val="00420B07"/>
    <w:rsid w:val="00441BF5"/>
    <w:rsid w:val="00470464"/>
    <w:rsid w:val="004726CF"/>
    <w:rsid w:val="00475AE5"/>
    <w:rsid w:val="00480191"/>
    <w:rsid w:val="0049481E"/>
    <w:rsid w:val="00496F58"/>
    <w:rsid w:val="004A323C"/>
    <w:rsid w:val="004A65B1"/>
    <w:rsid w:val="004B6863"/>
    <w:rsid w:val="004C2256"/>
    <w:rsid w:val="004D6BEB"/>
    <w:rsid w:val="004E4D5F"/>
    <w:rsid w:val="004F3CF5"/>
    <w:rsid w:val="0050061B"/>
    <w:rsid w:val="00505462"/>
    <w:rsid w:val="00512F1A"/>
    <w:rsid w:val="005349E1"/>
    <w:rsid w:val="005379F2"/>
    <w:rsid w:val="00540DCB"/>
    <w:rsid w:val="00540DD9"/>
    <w:rsid w:val="00541381"/>
    <w:rsid w:val="0054453C"/>
    <w:rsid w:val="00551554"/>
    <w:rsid w:val="00553EF0"/>
    <w:rsid w:val="005754F8"/>
    <w:rsid w:val="00582440"/>
    <w:rsid w:val="00590334"/>
    <w:rsid w:val="00591608"/>
    <w:rsid w:val="00593A15"/>
    <w:rsid w:val="005A0F93"/>
    <w:rsid w:val="005C133F"/>
    <w:rsid w:val="005C1593"/>
    <w:rsid w:val="005E01B7"/>
    <w:rsid w:val="00615BBC"/>
    <w:rsid w:val="00627861"/>
    <w:rsid w:val="0063415F"/>
    <w:rsid w:val="00646EF2"/>
    <w:rsid w:val="00647999"/>
    <w:rsid w:val="006579DC"/>
    <w:rsid w:val="00662C08"/>
    <w:rsid w:val="006923F4"/>
    <w:rsid w:val="006A134A"/>
    <w:rsid w:val="006A23B6"/>
    <w:rsid w:val="006A4B1A"/>
    <w:rsid w:val="006B055E"/>
    <w:rsid w:val="006B0D34"/>
    <w:rsid w:val="006B775A"/>
    <w:rsid w:val="006C0DB0"/>
    <w:rsid w:val="006C499F"/>
    <w:rsid w:val="006C5F8E"/>
    <w:rsid w:val="006E2CB4"/>
    <w:rsid w:val="006E5A9A"/>
    <w:rsid w:val="00702974"/>
    <w:rsid w:val="00720E70"/>
    <w:rsid w:val="0072441A"/>
    <w:rsid w:val="007347B3"/>
    <w:rsid w:val="00735660"/>
    <w:rsid w:val="0073763C"/>
    <w:rsid w:val="007612EB"/>
    <w:rsid w:val="00766278"/>
    <w:rsid w:val="0076706F"/>
    <w:rsid w:val="007973A5"/>
    <w:rsid w:val="007C1836"/>
    <w:rsid w:val="007D1B17"/>
    <w:rsid w:val="007D452D"/>
    <w:rsid w:val="007D72F8"/>
    <w:rsid w:val="007E586A"/>
    <w:rsid w:val="007F67CA"/>
    <w:rsid w:val="00806945"/>
    <w:rsid w:val="00813012"/>
    <w:rsid w:val="00815DE7"/>
    <w:rsid w:val="008203F9"/>
    <w:rsid w:val="00833ABC"/>
    <w:rsid w:val="00836476"/>
    <w:rsid w:val="0083754C"/>
    <w:rsid w:val="00840957"/>
    <w:rsid w:val="008461ED"/>
    <w:rsid w:val="00847E24"/>
    <w:rsid w:val="008624B6"/>
    <w:rsid w:val="00873D13"/>
    <w:rsid w:val="008853B1"/>
    <w:rsid w:val="00890D4E"/>
    <w:rsid w:val="00891E15"/>
    <w:rsid w:val="00897B7D"/>
    <w:rsid w:val="008B2AC0"/>
    <w:rsid w:val="008B53E5"/>
    <w:rsid w:val="008D3651"/>
    <w:rsid w:val="008D64B5"/>
    <w:rsid w:val="008E2292"/>
    <w:rsid w:val="008E3C92"/>
    <w:rsid w:val="008E73FC"/>
    <w:rsid w:val="008F2F5D"/>
    <w:rsid w:val="009071E3"/>
    <w:rsid w:val="009345D2"/>
    <w:rsid w:val="00941407"/>
    <w:rsid w:val="00955177"/>
    <w:rsid w:val="00955CC2"/>
    <w:rsid w:val="00957242"/>
    <w:rsid w:val="00966C4D"/>
    <w:rsid w:val="0098378D"/>
    <w:rsid w:val="00984ACA"/>
    <w:rsid w:val="00995160"/>
    <w:rsid w:val="009A6902"/>
    <w:rsid w:val="009C4989"/>
    <w:rsid w:val="009C6732"/>
    <w:rsid w:val="009E3E31"/>
    <w:rsid w:val="009E6426"/>
    <w:rsid w:val="009F2BD3"/>
    <w:rsid w:val="009F390A"/>
    <w:rsid w:val="009F784E"/>
    <w:rsid w:val="00A1223D"/>
    <w:rsid w:val="00A244C0"/>
    <w:rsid w:val="00A3112A"/>
    <w:rsid w:val="00A60A59"/>
    <w:rsid w:val="00AB3A69"/>
    <w:rsid w:val="00AB4A5E"/>
    <w:rsid w:val="00AB78CF"/>
    <w:rsid w:val="00AC199D"/>
    <w:rsid w:val="00AF15FD"/>
    <w:rsid w:val="00B07A20"/>
    <w:rsid w:val="00B15883"/>
    <w:rsid w:val="00B21376"/>
    <w:rsid w:val="00B23B65"/>
    <w:rsid w:val="00B41112"/>
    <w:rsid w:val="00B46A50"/>
    <w:rsid w:val="00B60C74"/>
    <w:rsid w:val="00B76382"/>
    <w:rsid w:val="00B83D5D"/>
    <w:rsid w:val="00B95AE6"/>
    <w:rsid w:val="00BA03F6"/>
    <w:rsid w:val="00BA0990"/>
    <w:rsid w:val="00BB3562"/>
    <w:rsid w:val="00BB39DC"/>
    <w:rsid w:val="00BF1D33"/>
    <w:rsid w:val="00C01D92"/>
    <w:rsid w:val="00C36D5D"/>
    <w:rsid w:val="00C45942"/>
    <w:rsid w:val="00C55138"/>
    <w:rsid w:val="00C711C6"/>
    <w:rsid w:val="00C7501E"/>
    <w:rsid w:val="00C87C4B"/>
    <w:rsid w:val="00C979AA"/>
    <w:rsid w:val="00CB437A"/>
    <w:rsid w:val="00CE0858"/>
    <w:rsid w:val="00CE75AC"/>
    <w:rsid w:val="00CF4A09"/>
    <w:rsid w:val="00CF69FD"/>
    <w:rsid w:val="00D14C9F"/>
    <w:rsid w:val="00D16D30"/>
    <w:rsid w:val="00D37317"/>
    <w:rsid w:val="00D4726B"/>
    <w:rsid w:val="00D47A37"/>
    <w:rsid w:val="00D52B5B"/>
    <w:rsid w:val="00D53B1F"/>
    <w:rsid w:val="00D544FA"/>
    <w:rsid w:val="00D61AE5"/>
    <w:rsid w:val="00D72ECB"/>
    <w:rsid w:val="00D92DE3"/>
    <w:rsid w:val="00DA0C65"/>
    <w:rsid w:val="00DB6943"/>
    <w:rsid w:val="00DC3280"/>
    <w:rsid w:val="00DC3D11"/>
    <w:rsid w:val="00DC6F6B"/>
    <w:rsid w:val="00E068F4"/>
    <w:rsid w:val="00E32B1D"/>
    <w:rsid w:val="00E45C4F"/>
    <w:rsid w:val="00E47390"/>
    <w:rsid w:val="00E477BB"/>
    <w:rsid w:val="00E50780"/>
    <w:rsid w:val="00E5644C"/>
    <w:rsid w:val="00E570D6"/>
    <w:rsid w:val="00E63BA4"/>
    <w:rsid w:val="00E71771"/>
    <w:rsid w:val="00E80085"/>
    <w:rsid w:val="00E95307"/>
    <w:rsid w:val="00EB0306"/>
    <w:rsid w:val="00EB2A51"/>
    <w:rsid w:val="00EC18E3"/>
    <w:rsid w:val="00EE380D"/>
    <w:rsid w:val="00EF3B71"/>
    <w:rsid w:val="00F32FB5"/>
    <w:rsid w:val="00F60BC4"/>
    <w:rsid w:val="00F665A6"/>
    <w:rsid w:val="00F667DA"/>
    <w:rsid w:val="00F95A9E"/>
    <w:rsid w:val="00FB629A"/>
    <w:rsid w:val="00FB671A"/>
    <w:rsid w:val="00FC277A"/>
    <w:rsid w:val="00FD227F"/>
    <w:rsid w:val="00FD4832"/>
    <w:rsid w:val="00FE2B43"/>
    <w:rsid w:val="00FF001A"/>
    <w:rsid w:val="00FF733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Palatino Linotype" w:eastAsiaTheme="minorHAnsi" w:hAnsi="Palatino Linotype" w:cstheme="minorBidi"/>
        <w:lang w:val="de-CH" w:eastAsia="en-US" w:bidi="ar-SA"/>
      </w:rPr>
    </w:rPrDefault>
    <w:pPrDefault>
      <w:pPr>
        <w:spacing w:line="26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4" w:unhideWhenUsed="0" w:qFormat="1"/>
    <w:lsdException w:name="heading 2" w:uiPriority="4" w:qFormat="1"/>
    <w:lsdException w:name="heading 3" w:uiPriority="4" w:qFormat="1"/>
    <w:lsdException w:name="heading 4" w:uiPriority="4"/>
    <w:lsdException w:name="heading 5" w:uiPriority="4"/>
    <w:lsdException w:name="heading 6" w:uiPriority="9"/>
    <w:lsdException w:name="heading 7" w:uiPriority="9" w:unhideWhenUsed="0"/>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page number"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DC3280"/>
    <w:pPr>
      <w:spacing w:line="240" w:lineRule="auto"/>
      <w:jc w:val="both"/>
    </w:pPr>
    <w:rPr>
      <w:rFonts w:ascii="Times New Roman" w:hAnsi="Times New Roman"/>
      <w:sz w:val="24"/>
    </w:rPr>
  </w:style>
  <w:style w:type="paragraph" w:styleId="Nadpis1">
    <w:name w:val="heading 1"/>
    <w:basedOn w:val="Normln"/>
    <w:next w:val="Normln"/>
    <w:link w:val="Nadpis1Char"/>
    <w:uiPriority w:val="4"/>
    <w:qFormat/>
    <w:rsid w:val="008E3C92"/>
    <w:pPr>
      <w:numPr>
        <w:numId w:val="48"/>
      </w:numPr>
      <w:spacing w:after="240"/>
      <w:ind w:left="431" w:hanging="431"/>
      <w:outlineLvl w:val="0"/>
    </w:pPr>
    <w:rPr>
      <w:b/>
      <w:color w:val="000000" w:themeColor="text1"/>
      <w:sz w:val="28"/>
    </w:rPr>
  </w:style>
  <w:style w:type="paragraph" w:styleId="Nadpis2">
    <w:name w:val="heading 2"/>
    <w:basedOn w:val="Nadpis1"/>
    <w:next w:val="Normln"/>
    <w:link w:val="Nadpis2Char"/>
    <w:uiPriority w:val="4"/>
    <w:qFormat/>
    <w:rsid w:val="008E3C92"/>
    <w:pPr>
      <w:numPr>
        <w:ilvl w:val="1"/>
      </w:numPr>
      <w:spacing w:line="400" w:lineRule="atLeast"/>
      <w:outlineLvl w:val="1"/>
    </w:pPr>
    <w:rPr>
      <w:iCs/>
      <w:sz w:val="24"/>
      <w:szCs w:val="28"/>
    </w:rPr>
  </w:style>
  <w:style w:type="paragraph" w:styleId="Nadpis3">
    <w:name w:val="heading 3"/>
    <w:basedOn w:val="Nadpis2"/>
    <w:next w:val="Normln"/>
    <w:link w:val="Nadpis3Char"/>
    <w:uiPriority w:val="4"/>
    <w:qFormat/>
    <w:rsid w:val="00F60BC4"/>
    <w:pPr>
      <w:numPr>
        <w:ilvl w:val="2"/>
      </w:numPr>
      <w:tabs>
        <w:tab w:val="left" w:pos="709"/>
      </w:tabs>
      <w:spacing w:line="260" w:lineRule="atLeast"/>
      <w:outlineLvl w:val="2"/>
    </w:pPr>
    <w:rPr>
      <w:rFonts w:cs="Arial"/>
      <w:bCs/>
      <w:sz w:val="20"/>
      <w:szCs w:val="20"/>
      <w:lang w:eastAsia="de-DE"/>
    </w:rPr>
  </w:style>
  <w:style w:type="paragraph" w:styleId="Nadpis4">
    <w:name w:val="heading 4"/>
    <w:basedOn w:val="Nadpis3"/>
    <w:next w:val="Normln"/>
    <w:link w:val="Nadpis4Char"/>
    <w:uiPriority w:val="4"/>
    <w:rsid w:val="00F60BC4"/>
    <w:pPr>
      <w:keepLines/>
      <w:numPr>
        <w:ilvl w:val="3"/>
      </w:numPr>
      <w:tabs>
        <w:tab w:val="clear" w:pos="709"/>
      </w:tabs>
      <w:outlineLvl w:val="3"/>
    </w:pPr>
    <w:rPr>
      <w:rFonts w:eastAsiaTheme="majorEastAsia" w:cstheme="majorBidi"/>
      <w:bCs w:val="0"/>
      <w:iCs w:val="0"/>
      <w:lang w:eastAsia="en-US"/>
    </w:rPr>
  </w:style>
  <w:style w:type="paragraph" w:styleId="Nadpis5">
    <w:name w:val="heading 5"/>
    <w:aliases w:val="Abstract"/>
    <w:basedOn w:val="Nadpis4"/>
    <w:next w:val="Normln"/>
    <w:link w:val="Nadpis5Char"/>
    <w:uiPriority w:val="4"/>
    <w:rsid w:val="00CB437A"/>
    <w:pPr>
      <w:keepNext/>
      <w:numPr>
        <w:ilvl w:val="0"/>
        <w:numId w:val="0"/>
      </w:numPr>
      <w:tabs>
        <w:tab w:val="left" w:pos="1134"/>
      </w:tabs>
      <w:spacing w:line="240" w:lineRule="auto"/>
      <w:outlineLvl w:val="4"/>
    </w:pPr>
    <w:rPr>
      <w:sz w:val="24"/>
      <w:lang w:eastAsia="de-DE"/>
    </w:rPr>
  </w:style>
  <w:style w:type="paragraph" w:styleId="Nadpis6">
    <w:name w:val="heading 6"/>
    <w:basedOn w:val="Normln"/>
    <w:next w:val="Normln"/>
    <w:link w:val="Nadpis6Char"/>
    <w:uiPriority w:val="9"/>
    <w:semiHidden/>
    <w:rsid w:val="00FB629A"/>
    <w:pPr>
      <w:keepNext/>
      <w:keepLines/>
      <w:numPr>
        <w:ilvl w:val="5"/>
        <w:numId w:val="48"/>
      </w:numPr>
      <w:spacing w:before="200"/>
      <w:outlineLvl w:val="5"/>
    </w:pPr>
    <w:rPr>
      <w:rFonts w:asciiTheme="majorHAnsi" w:eastAsiaTheme="majorEastAsia" w:hAnsiTheme="majorHAnsi" w:cstheme="majorBidi"/>
      <w:i/>
      <w:iCs/>
      <w:color w:val="082D16" w:themeColor="accent1" w:themeShade="7F"/>
    </w:rPr>
  </w:style>
  <w:style w:type="paragraph" w:styleId="Nadpis7">
    <w:name w:val="heading 7"/>
    <w:basedOn w:val="Normln"/>
    <w:next w:val="Normln"/>
    <w:link w:val="Nadpis7Char"/>
    <w:uiPriority w:val="9"/>
    <w:semiHidden/>
    <w:rsid w:val="00264D11"/>
    <w:pPr>
      <w:keepNext/>
      <w:keepLines/>
      <w:numPr>
        <w:ilvl w:val="6"/>
        <w:numId w:val="48"/>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264D11"/>
    <w:pPr>
      <w:keepNext/>
      <w:keepLines/>
      <w:numPr>
        <w:ilvl w:val="7"/>
        <w:numId w:val="48"/>
      </w:numPr>
      <w:spacing w:before="200"/>
      <w:outlineLvl w:val="7"/>
    </w:pPr>
    <w:rPr>
      <w:rFonts w:asciiTheme="majorHAnsi" w:eastAsiaTheme="majorEastAsia" w:hAnsiTheme="majorHAnsi" w:cstheme="majorBidi"/>
      <w:color w:val="404040" w:themeColor="text1" w:themeTint="BF"/>
    </w:rPr>
  </w:style>
  <w:style w:type="paragraph" w:styleId="Nadpis9">
    <w:name w:val="heading 9"/>
    <w:basedOn w:val="Normln"/>
    <w:next w:val="Normln"/>
    <w:link w:val="Nadpis9Char"/>
    <w:uiPriority w:val="9"/>
    <w:semiHidden/>
    <w:unhideWhenUsed/>
    <w:qFormat/>
    <w:rsid w:val="00264D11"/>
    <w:pPr>
      <w:keepNext/>
      <w:keepLines/>
      <w:numPr>
        <w:ilvl w:val="8"/>
        <w:numId w:val="48"/>
      </w:numPr>
      <w:spacing w:before="200"/>
      <w:outlineLvl w:val="8"/>
    </w:pPr>
    <w:rPr>
      <w:rFonts w:asciiTheme="majorHAnsi" w:eastAsiaTheme="majorEastAsia" w:hAnsiTheme="majorHAnsi"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4"/>
    <w:rsid w:val="008E3C92"/>
    <w:rPr>
      <w:rFonts w:ascii="Times New Roman" w:hAnsi="Times New Roman"/>
      <w:b/>
      <w:color w:val="000000" w:themeColor="text1"/>
      <w:sz w:val="28"/>
    </w:rPr>
  </w:style>
  <w:style w:type="character" w:customStyle="1" w:styleId="Nadpis2Char">
    <w:name w:val="Nadpis 2 Char"/>
    <w:basedOn w:val="Standardnpsmoodstavce"/>
    <w:link w:val="Nadpis2"/>
    <w:uiPriority w:val="4"/>
    <w:rsid w:val="008E3C92"/>
    <w:rPr>
      <w:rFonts w:ascii="Times New Roman" w:hAnsi="Times New Roman"/>
      <w:b/>
      <w:iCs/>
      <w:color w:val="000000" w:themeColor="text1"/>
      <w:sz w:val="24"/>
      <w:szCs w:val="28"/>
    </w:rPr>
  </w:style>
  <w:style w:type="character" w:customStyle="1" w:styleId="Nadpis3Char">
    <w:name w:val="Nadpis 3 Char"/>
    <w:basedOn w:val="Standardnpsmoodstavce"/>
    <w:link w:val="Nadpis3"/>
    <w:uiPriority w:val="4"/>
    <w:rsid w:val="00F60BC4"/>
    <w:rPr>
      <w:rFonts w:asciiTheme="majorHAnsi" w:hAnsiTheme="majorHAnsi" w:cs="Arial"/>
      <w:bCs/>
      <w:iCs/>
      <w:color w:val="000000" w:themeColor="text1"/>
      <w:lang w:eastAsia="de-DE"/>
    </w:rPr>
  </w:style>
  <w:style w:type="character" w:customStyle="1" w:styleId="Nadpis4Char">
    <w:name w:val="Nadpis 4 Char"/>
    <w:basedOn w:val="Standardnpsmoodstavce"/>
    <w:link w:val="Nadpis4"/>
    <w:uiPriority w:val="4"/>
    <w:rsid w:val="00F60BC4"/>
    <w:rPr>
      <w:rFonts w:asciiTheme="majorHAnsi" w:eastAsiaTheme="majorEastAsia" w:hAnsiTheme="majorHAnsi" w:cstheme="majorBidi"/>
      <w:color w:val="000000" w:themeColor="text1"/>
    </w:rPr>
  </w:style>
  <w:style w:type="character" w:customStyle="1" w:styleId="Nadpis5Char">
    <w:name w:val="Nadpis 5 Char"/>
    <w:aliases w:val="Abstract Char"/>
    <w:basedOn w:val="Standardnpsmoodstavce"/>
    <w:link w:val="Nadpis5"/>
    <w:uiPriority w:val="4"/>
    <w:rsid w:val="00CB437A"/>
    <w:rPr>
      <w:rFonts w:ascii="Times New Roman" w:eastAsiaTheme="majorEastAsia" w:hAnsi="Times New Roman" w:cstheme="majorBidi"/>
      <w:color w:val="000000" w:themeColor="text1"/>
      <w:sz w:val="24"/>
      <w:lang w:eastAsia="de-DE"/>
    </w:rPr>
  </w:style>
  <w:style w:type="character" w:styleId="slostrnky">
    <w:name w:val="page number"/>
    <w:basedOn w:val="Standardnpsmoodstavce"/>
    <w:uiPriority w:val="9"/>
    <w:qFormat/>
    <w:rsid w:val="00F60BC4"/>
    <w:rPr>
      <w:rFonts w:ascii="Arial" w:hAnsi="Arial"/>
      <w:kern w:val="0"/>
      <w:sz w:val="16"/>
      <w:szCs w:val="18"/>
    </w:rPr>
  </w:style>
  <w:style w:type="character" w:customStyle="1" w:styleId="Nadpis6Char">
    <w:name w:val="Nadpis 6 Char"/>
    <w:basedOn w:val="Standardnpsmoodstavce"/>
    <w:link w:val="Nadpis6"/>
    <w:uiPriority w:val="9"/>
    <w:semiHidden/>
    <w:rsid w:val="00CF69FD"/>
    <w:rPr>
      <w:rFonts w:asciiTheme="majorHAnsi" w:eastAsiaTheme="majorEastAsia" w:hAnsiTheme="majorHAnsi" w:cstheme="majorBidi"/>
      <w:i/>
      <w:iCs/>
      <w:color w:val="082D16" w:themeColor="accent1" w:themeShade="7F"/>
    </w:rPr>
  </w:style>
  <w:style w:type="paragraph" w:styleId="Nzev">
    <w:name w:val="Title"/>
    <w:aliases w:val="Note"/>
    <w:basedOn w:val="Normln"/>
    <w:next w:val="Normln"/>
    <w:link w:val="NzevChar"/>
    <w:uiPriority w:val="10"/>
    <w:qFormat/>
    <w:rsid w:val="00055009"/>
    <w:pPr>
      <w:spacing w:before="120"/>
      <w:contextualSpacing/>
    </w:pPr>
    <w:rPr>
      <w:rFonts w:eastAsiaTheme="majorEastAsia" w:cstheme="majorBidi"/>
      <w:color w:val="000000" w:themeColor="text1"/>
      <w:spacing w:val="5"/>
      <w:kern w:val="28"/>
      <w:sz w:val="20"/>
      <w:szCs w:val="52"/>
    </w:rPr>
  </w:style>
  <w:style w:type="character" w:customStyle="1" w:styleId="NzevChar">
    <w:name w:val="Název Char"/>
    <w:aliases w:val="Note Char"/>
    <w:basedOn w:val="Standardnpsmoodstavce"/>
    <w:link w:val="Nzev"/>
    <w:uiPriority w:val="10"/>
    <w:rsid w:val="00055009"/>
    <w:rPr>
      <w:rFonts w:ascii="Times New Roman" w:eastAsiaTheme="majorEastAsia" w:hAnsi="Times New Roman" w:cstheme="majorBidi"/>
      <w:color w:val="000000" w:themeColor="text1"/>
      <w:spacing w:val="5"/>
      <w:kern w:val="28"/>
      <w:szCs w:val="52"/>
    </w:rPr>
  </w:style>
  <w:style w:type="paragraph" w:styleId="Podtitul">
    <w:name w:val="Subtitle"/>
    <w:basedOn w:val="Normln"/>
    <w:next w:val="Normln"/>
    <w:link w:val="PodtitulChar"/>
    <w:uiPriority w:val="11"/>
    <w:qFormat/>
    <w:rsid w:val="00F60BC4"/>
    <w:pPr>
      <w:numPr>
        <w:ilvl w:val="1"/>
      </w:numPr>
    </w:pPr>
    <w:rPr>
      <w:rFonts w:asciiTheme="majorHAnsi" w:eastAsiaTheme="majorEastAsia" w:hAnsiTheme="majorHAnsi" w:cstheme="majorBidi"/>
      <w:b/>
      <w:i/>
      <w:iCs/>
      <w:color w:val="000000" w:themeColor="text1"/>
      <w:spacing w:val="15"/>
      <w:sz w:val="32"/>
      <w:szCs w:val="24"/>
    </w:rPr>
  </w:style>
  <w:style w:type="character" w:customStyle="1" w:styleId="PodtitulChar">
    <w:name w:val="Podtitul Char"/>
    <w:basedOn w:val="Standardnpsmoodstavce"/>
    <w:link w:val="Podtitul"/>
    <w:uiPriority w:val="11"/>
    <w:rsid w:val="00F60BC4"/>
    <w:rPr>
      <w:rFonts w:asciiTheme="majorHAnsi" w:eastAsiaTheme="majorEastAsia" w:hAnsiTheme="majorHAnsi" w:cstheme="majorBidi"/>
      <w:b/>
      <w:i/>
      <w:iCs/>
      <w:color w:val="000000" w:themeColor="text1"/>
      <w:spacing w:val="15"/>
      <w:sz w:val="32"/>
      <w:szCs w:val="24"/>
    </w:rPr>
  </w:style>
  <w:style w:type="character" w:styleId="Zdraznnjemn">
    <w:name w:val="Subtle Emphasis"/>
    <w:basedOn w:val="Standardnpsmoodstavce"/>
    <w:uiPriority w:val="19"/>
    <w:semiHidden/>
    <w:rsid w:val="00FB629A"/>
    <w:rPr>
      <w:i/>
      <w:iCs/>
      <w:color w:val="808080" w:themeColor="text1" w:themeTint="7F"/>
    </w:rPr>
  </w:style>
  <w:style w:type="character" w:styleId="Odkazintenzivn">
    <w:name w:val="Intense Reference"/>
    <w:basedOn w:val="Standardnpsmoodstavce"/>
    <w:uiPriority w:val="32"/>
    <w:semiHidden/>
    <w:rsid w:val="00FB629A"/>
    <w:rPr>
      <w:b/>
      <w:bCs/>
      <w:smallCaps/>
      <w:color w:val="249662" w:themeColor="accent2"/>
      <w:spacing w:val="5"/>
      <w:u w:val="single"/>
    </w:rPr>
  </w:style>
  <w:style w:type="paragraph" w:styleId="Odstavecseseznamem">
    <w:name w:val="List Paragraph"/>
    <w:basedOn w:val="Normln"/>
    <w:uiPriority w:val="9"/>
    <w:qFormat/>
    <w:rsid w:val="00F60BC4"/>
    <w:pPr>
      <w:numPr>
        <w:numId w:val="45"/>
      </w:numPr>
      <w:contextualSpacing/>
    </w:pPr>
    <w:rPr>
      <w:color w:val="000000" w:themeColor="text1"/>
    </w:rPr>
  </w:style>
  <w:style w:type="character" w:styleId="Siln">
    <w:name w:val="Strong"/>
    <w:basedOn w:val="Standardnpsmoodstavce"/>
    <w:uiPriority w:val="22"/>
    <w:qFormat/>
    <w:rsid w:val="00F60BC4"/>
    <w:rPr>
      <w:b/>
      <w:bCs/>
    </w:rPr>
  </w:style>
  <w:style w:type="paragraph" w:styleId="Zkladntext">
    <w:name w:val="Body Text"/>
    <w:basedOn w:val="Normln"/>
    <w:link w:val="ZkladntextChar"/>
    <w:uiPriority w:val="99"/>
    <w:semiHidden/>
    <w:unhideWhenUsed/>
    <w:rsid w:val="00C711C6"/>
    <w:pPr>
      <w:spacing w:after="120"/>
    </w:pPr>
  </w:style>
  <w:style w:type="character" w:customStyle="1" w:styleId="ZkladntextChar">
    <w:name w:val="Základní text Char"/>
    <w:basedOn w:val="Standardnpsmoodstavce"/>
    <w:link w:val="Zkladntext"/>
    <w:uiPriority w:val="99"/>
    <w:semiHidden/>
    <w:rsid w:val="00C711C6"/>
    <w:rPr>
      <w:rFonts w:asciiTheme="minorHAnsi" w:hAnsiTheme="minorHAnsi"/>
    </w:rPr>
  </w:style>
  <w:style w:type="paragraph" w:styleId="Zhlav">
    <w:name w:val="header"/>
    <w:basedOn w:val="Normln"/>
    <w:link w:val="ZhlavChar"/>
    <w:uiPriority w:val="99"/>
    <w:unhideWhenUsed/>
    <w:qFormat/>
    <w:rsid w:val="00F60BC4"/>
    <w:pPr>
      <w:tabs>
        <w:tab w:val="center" w:pos="4536"/>
        <w:tab w:val="right" w:pos="9072"/>
      </w:tabs>
    </w:pPr>
    <w:rPr>
      <w:rFonts w:asciiTheme="majorHAnsi" w:hAnsiTheme="majorHAnsi"/>
      <w:sz w:val="16"/>
      <w:szCs w:val="16"/>
    </w:rPr>
  </w:style>
  <w:style w:type="character" w:customStyle="1" w:styleId="ZhlavChar">
    <w:name w:val="Záhlaví Char"/>
    <w:basedOn w:val="Standardnpsmoodstavce"/>
    <w:link w:val="Zhlav"/>
    <w:uiPriority w:val="99"/>
    <w:rsid w:val="00F60BC4"/>
    <w:rPr>
      <w:rFonts w:asciiTheme="majorHAnsi" w:hAnsiTheme="majorHAnsi"/>
      <w:sz w:val="16"/>
      <w:szCs w:val="16"/>
    </w:rPr>
  </w:style>
  <w:style w:type="paragraph" w:styleId="Zpat">
    <w:name w:val="footer"/>
    <w:basedOn w:val="Normln"/>
    <w:link w:val="ZpatChar"/>
    <w:uiPriority w:val="99"/>
    <w:unhideWhenUsed/>
    <w:qFormat/>
    <w:rsid w:val="00F60BC4"/>
    <w:pPr>
      <w:tabs>
        <w:tab w:val="center" w:pos="4536"/>
        <w:tab w:val="right" w:pos="9072"/>
      </w:tabs>
    </w:pPr>
    <w:rPr>
      <w:rFonts w:asciiTheme="majorHAnsi" w:hAnsiTheme="majorHAnsi"/>
      <w:sz w:val="16"/>
      <w:szCs w:val="16"/>
    </w:rPr>
  </w:style>
  <w:style w:type="character" w:customStyle="1" w:styleId="ZpatChar">
    <w:name w:val="Zápatí Char"/>
    <w:basedOn w:val="Standardnpsmoodstavce"/>
    <w:link w:val="Zpat"/>
    <w:uiPriority w:val="99"/>
    <w:rsid w:val="00F60BC4"/>
    <w:rPr>
      <w:rFonts w:asciiTheme="majorHAnsi" w:hAnsiTheme="majorHAnsi"/>
      <w:sz w:val="16"/>
      <w:szCs w:val="16"/>
    </w:rPr>
  </w:style>
  <w:style w:type="paragraph" w:styleId="Obsah1">
    <w:name w:val="toc 1"/>
    <w:basedOn w:val="Normln"/>
    <w:next w:val="Normln"/>
    <w:autoRedefine/>
    <w:uiPriority w:val="39"/>
    <w:unhideWhenUsed/>
    <w:rsid w:val="00D16D30"/>
    <w:pPr>
      <w:tabs>
        <w:tab w:val="left" w:pos="400"/>
        <w:tab w:val="right" w:leader="dot" w:pos="9062"/>
      </w:tabs>
    </w:pPr>
    <w:rPr>
      <w:rFonts w:asciiTheme="majorHAnsi" w:hAnsiTheme="majorHAnsi"/>
      <w:noProof/>
    </w:rPr>
  </w:style>
  <w:style w:type="paragraph" w:styleId="Obsah2">
    <w:name w:val="toc 2"/>
    <w:basedOn w:val="Normln"/>
    <w:next w:val="Normln"/>
    <w:autoRedefine/>
    <w:uiPriority w:val="39"/>
    <w:unhideWhenUsed/>
    <w:rsid w:val="00D16D30"/>
    <w:pPr>
      <w:tabs>
        <w:tab w:val="left" w:pos="880"/>
        <w:tab w:val="right" w:leader="dot" w:pos="9062"/>
      </w:tabs>
      <w:ind w:left="198"/>
    </w:pPr>
    <w:rPr>
      <w:rFonts w:asciiTheme="majorHAnsi" w:hAnsiTheme="majorHAnsi"/>
      <w:noProof/>
    </w:rPr>
  </w:style>
  <w:style w:type="paragraph" w:styleId="Obsah3">
    <w:name w:val="toc 3"/>
    <w:basedOn w:val="Normln"/>
    <w:next w:val="Normln"/>
    <w:autoRedefine/>
    <w:uiPriority w:val="39"/>
    <w:unhideWhenUsed/>
    <w:rsid w:val="00D16D30"/>
    <w:pPr>
      <w:tabs>
        <w:tab w:val="left" w:pos="1100"/>
        <w:tab w:val="right" w:leader="dot" w:pos="9062"/>
      </w:tabs>
      <w:ind w:left="403"/>
    </w:pPr>
    <w:rPr>
      <w:rFonts w:asciiTheme="majorHAnsi" w:hAnsiTheme="majorHAnsi"/>
      <w:noProof/>
    </w:rPr>
  </w:style>
  <w:style w:type="character" w:styleId="Hypertextovodkaz">
    <w:name w:val="Hyperlink"/>
    <w:basedOn w:val="Standardnpsmoodstavce"/>
    <w:uiPriority w:val="99"/>
    <w:unhideWhenUsed/>
    <w:rsid w:val="00D16D30"/>
    <w:rPr>
      <w:color w:val="115C2E" w:themeColor="hyperlink"/>
      <w:u w:val="single"/>
    </w:rPr>
  </w:style>
  <w:style w:type="paragraph" w:styleId="Obsah4">
    <w:name w:val="toc 4"/>
    <w:basedOn w:val="Normln"/>
    <w:next w:val="Normln"/>
    <w:autoRedefine/>
    <w:uiPriority w:val="39"/>
    <w:unhideWhenUsed/>
    <w:rsid w:val="00D16D30"/>
    <w:pPr>
      <w:tabs>
        <w:tab w:val="left" w:pos="1540"/>
        <w:tab w:val="right" w:leader="dot" w:pos="9062"/>
      </w:tabs>
      <w:ind w:left="601"/>
    </w:pPr>
    <w:rPr>
      <w:rFonts w:asciiTheme="majorHAnsi" w:hAnsiTheme="majorHAnsi"/>
      <w:noProof/>
    </w:rPr>
  </w:style>
  <w:style w:type="paragraph" w:styleId="Obsah5">
    <w:name w:val="toc 5"/>
    <w:basedOn w:val="Normln"/>
    <w:next w:val="Normln"/>
    <w:autoRedefine/>
    <w:uiPriority w:val="39"/>
    <w:unhideWhenUsed/>
    <w:rsid w:val="00D16D30"/>
    <w:pPr>
      <w:tabs>
        <w:tab w:val="left" w:pos="1880"/>
        <w:tab w:val="right" w:leader="dot" w:pos="9062"/>
      </w:tabs>
      <w:ind w:left="799"/>
    </w:pPr>
    <w:rPr>
      <w:rFonts w:asciiTheme="majorHAnsi" w:hAnsiTheme="majorHAnsi"/>
      <w:noProof/>
    </w:rPr>
  </w:style>
  <w:style w:type="character" w:customStyle="1" w:styleId="Nadpis7Char">
    <w:name w:val="Nadpis 7 Char"/>
    <w:basedOn w:val="Standardnpsmoodstavce"/>
    <w:link w:val="Nadpis7"/>
    <w:uiPriority w:val="9"/>
    <w:semiHidden/>
    <w:rsid w:val="00264D11"/>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264D11"/>
    <w:rPr>
      <w:rFonts w:asciiTheme="majorHAnsi" w:eastAsiaTheme="majorEastAsia" w:hAnsiTheme="majorHAnsi" w:cstheme="majorBidi"/>
      <w:color w:val="404040" w:themeColor="text1" w:themeTint="BF"/>
    </w:rPr>
  </w:style>
  <w:style w:type="character" w:customStyle="1" w:styleId="Nadpis9Char">
    <w:name w:val="Nadpis 9 Char"/>
    <w:basedOn w:val="Standardnpsmoodstavce"/>
    <w:link w:val="Nadpis9"/>
    <w:uiPriority w:val="9"/>
    <w:semiHidden/>
    <w:rsid w:val="00264D11"/>
    <w:rPr>
      <w:rFonts w:asciiTheme="majorHAnsi" w:eastAsiaTheme="majorEastAsia" w:hAnsiTheme="majorHAnsi" w:cstheme="majorBidi"/>
      <w:i/>
      <w:iCs/>
      <w:color w:val="404040" w:themeColor="text1" w:themeTint="BF"/>
    </w:rPr>
  </w:style>
  <w:style w:type="paragraph" w:styleId="Textpoznpodarou">
    <w:name w:val="footnote text"/>
    <w:basedOn w:val="Normln"/>
    <w:link w:val="TextpoznpodarouChar"/>
    <w:uiPriority w:val="99"/>
    <w:semiHidden/>
    <w:unhideWhenUsed/>
    <w:rsid w:val="008E3C92"/>
    <w:rPr>
      <w:sz w:val="20"/>
    </w:rPr>
  </w:style>
  <w:style w:type="character" w:customStyle="1" w:styleId="TextpoznpodarouChar">
    <w:name w:val="Text pozn. pod čarou Char"/>
    <w:basedOn w:val="Standardnpsmoodstavce"/>
    <w:link w:val="Textpoznpodarou"/>
    <w:uiPriority w:val="99"/>
    <w:semiHidden/>
    <w:rsid w:val="008E3C92"/>
    <w:rPr>
      <w:rFonts w:ascii="Times New Roman" w:hAnsi="Times New Roman"/>
    </w:rPr>
  </w:style>
  <w:style w:type="character" w:styleId="Znakapoznpodarou">
    <w:name w:val="footnote reference"/>
    <w:basedOn w:val="Standardnpsmoodstavce"/>
    <w:uiPriority w:val="99"/>
    <w:semiHidden/>
    <w:unhideWhenUsed/>
    <w:rsid w:val="008E3C92"/>
    <w:rPr>
      <w:vertAlign w:val="superscript"/>
    </w:rPr>
  </w:style>
  <w:style w:type="paragraph" w:styleId="Textbubliny">
    <w:name w:val="Balloon Text"/>
    <w:basedOn w:val="Normln"/>
    <w:link w:val="TextbublinyChar"/>
    <w:uiPriority w:val="99"/>
    <w:semiHidden/>
    <w:unhideWhenUsed/>
    <w:rsid w:val="001916DB"/>
    <w:rPr>
      <w:rFonts w:ascii="Tahoma" w:hAnsi="Tahoma" w:cs="Tahoma"/>
      <w:sz w:val="16"/>
      <w:szCs w:val="16"/>
    </w:rPr>
  </w:style>
  <w:style w:type="character" w:customStyle="1" w:styleId="TextbublinyChar">
    <w:name w:val="Text bubliny Char"/>
    <w:basedOn w:val="Standardnpsmoodstavce"/>
    <w:link w:val="Textbubliny"/>
    <w:uiPriority w:val="99"/>
    <w:semiHidden/>
    <w:rsid w:val="001916DB"/>
    <w:rPr>
      <w:rFonts w:ascii="Tahoma" w:hAnsi="Tahoma" w:cs="Tahoma"/>
      <w:sz w:val="16"/>
      <w:szCs w:val="16"/>
    </w:rPr>
  </w:style>
  <w:style w:type="character" w:styleId="Zstupntext">
    <w:name w:val="Placeholder Text"/>
    <w:basedOn w:val="Standardnpsmoodstavce"/>
    <w:uiPriority w:val="99"/>
    <w:semiHidden/>
    <w:rsid w:val="00237475"/>
    <w:rPr>
      <w:color w:val="808080"/>
    </w:rPr>
  </w:style>
  <w:style w:type="paragraph" w:styleId="Titulek">
    <w:name w:val="caption"/>
    <w:basedOn w:val="Normln"/>
    <w:next w:val="Normln"/>
    <w:uiPriority w:val="35"/>
    <w:unhideWhenUsed/>
    <w:qFormat/>
    <w:rsid w:val="00055009"/>
    <w:pPr>
      <w:spacing w:after="200"/>
      <w:jc w:val="center"/>
    </w:pPr>
    <w:rPr>
      <w:b/>
      <w:bCs/>
      <w:sz w:val="20"/>
      <w:szCs w:val="18"/>
    </w:rPr>
  </w:style>
  <w:style w:type="character" w:styleId="Odkaznakoment">
    <w:name w:val="annotation reference"/>
    <w:basedOn w:val="Standardnpsmoodstavce"/>
    <w:uiPriority w:val="99"/>
    <w:semiHidden/>
    <w:unhideWhenUsed/>
    <w:rsid w:val="00297E33"/>
    <w:rPr>
      <w:sz w:val="18"/>
      <w:szCs w:val="18"/>
    </w:rPr>
  </w:style>
  <w:style w:type="paragraph" w:styleId="Textkomente">
    <w:name w:val="annotation text"/>
    <w:basedOn w:val="Normln"/>
    <w:link w:val="TextkomenteChar"/>
    <w:uiPriority w:val="99"/>
    <w:semiHidden/>
    <w:unhideWhenUsed/>
    <w:rsid w:val="00297E33"/>
    <w:rPr>
      <w:szCs w:val="24"/>
    </w:rPr>
  </w:style>
  <w:style w:type="character" w:customStyle="1" w:styleId="TextkomenteChar">
    <w:name w:val="Text komentáře Char"/>
    <w:basedOn w:val="Standardnpsmoodstavce"/>
    <w:link w:val="Textkomente"/>
    <w:uiPriority w:val="99"/>
    <w:semiHidden/>
    <w:rsid w:val="00297E33"/>
    <w:rPr>
      <w:rFonts w:ascii="Times New Roman" w:hAnsi="Times New Roman"/>
      <w:sz w:val="24"/>
      <w:szCs w:val="24"/>
    </w:rPr>
  </w:style>
  <w:style w:type="paragraph" w:styleId="Pedmtkomente">
    <w:name w:val="annotation subject"/>
    <w:basedOn w:val="Textkomente"/>
    <w:next w:val="Textkomente"/>
    <w:link w:val="PedmtkomenteChar"/>
    <w:uiPriority w:val="99"/>
    <w:semiHidden/>
    <w:unhideWhenUsed/>
    <w:rsid w:val="00297E33"/>
    <w:rPr>
      <w:b/>
      <w:bCs/>
      <w:sz w:val="20"/>
      <w:szCs w:val="20"/>
    </w:rPr>
  </w:style>
  <w:style w:type="character" w:customStyle="1" w:styleId="PedmtkomenteChar">
    <w:name w:val="Předmět komentáře Char"/>
    <w:basedOn w:val="TextkomenteChar"/>
    <w:link w:val="Pedmtkomente"/>
    <w:uiPriority w:val="99"/>
    <w:semiHidden/>
    <w:rsid w:val="00297E33"/>
    <w:rPr>
      <w:rFonts w:ascii="Times New Roman" w:hAnsi="Times New Roman"/>
      <w:b/>
      <w:bCs/>
      <w:sz w:val="24"/>
      <w:szCs w:val="24"/>
    </w:rPr>
  </w:style>
  <w:style w:type="paragraph" w:styleId="Revize">
    <w:name w:val="Revision"/>
    <w:hidden/>
    <w:uiPriority w:val="99"/>
    <w:semiHidden/>
    <w:rsid w:val="005C1593"/>
    <w:pPr>
      <w:spacing w:line="240" w:lineRule="auto"/>
    </w:pP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896505">
      <w:bodyDiv w:val="1"/>
      <w:marLeft w:val="0"/>
      <w:marRight w:val="0"/>
      <w:marTop w:val="0"/>
      <w:marBottom w:val="0"/>
      <w:divBdr>
        <w:top w:val="none" w:sz="0" w:space="0" w:color="auto"/>
        <w:left w:val="none" w:sz="0" w:space="0" w:color="auto"/>
        <w:bottom w:val="none" w:sz="0" w:space="0" w:color="auto"/>
        <w:right w:val="none" w:sz="0" w:space="0" w:color="auto"/>
      </w:divBdr>
    </w:div>
    <w:div w:id="212930679">
      <w:bodyDiv w:val="1"/>
      <w:marLeft w:val="0"/>
      <w:marRight w:val="0"/>
      <w:marTop w:val="0"/>
      <w:marBottom w:val="0"/>
      <w:divBdr>
        <w:top w:val="none" w:sz="0" w:space="0" w:color="auto"/>
        <w:left w:val="none" w:sz="0" w:space="0" w:color="auto"/>
        <w:bottom w:val="none" w:sz="0" w:space="0" w:color="auto"/>
        <w:right w:val="none" w:sz="0" w:space="0" w:color="auto"/>
      </w:divBdr>
    </w:div>
    <w:div w:id="748582106">
      <w:bodyDiv w:val="1"/>
      <w:marLeft w:val="0"/>
      <w:marRight w:val="0"/>
      <w:marTop w:val="0"/>
      <w:marBottom w:val="0"/>
      <w:divBdr>
        <w:top w:val="none" w:sz="0" w:space="0" w:color="auto"/>
        <w:left w:val="none" w:sz="0" w:space="0" w:color="auto"/>
        <w:bottom w:val="none" w:sz="0" w:space="0" w:color="auto"/>
        <w:right w:val="none" w:sz="0" w:space="0" w:color="auto"/>
      </w:divBdr>
    </w:div>
    <w:div w:id="777136949">
      <w:bodyDiv w:val="1"/>
      <w:marLeft w:val="0"/>
      <w:marRight w:val="0"/>
      <w:marTop w:val="0"/>
      <w:marBottom w:val="0"/>
      <w:divBdr>
        <w:top w:val="none" w:sz="0" w:space="0" w:color="auto"/>
        <w:left w:val="none" w:sz="0" w:space="0" w:color="auto"/>
        <w:bottom w:val="none" w:sz="0" w:space="0" w:color="auto"/>
        <w:right w:val="none" w:sz="0" w:space="0" w:color="auto"/>
      </w:divBdr>
    </w:div>
    <w:div w:id="1006783492">
      <w:bodyDiv w:val="1"/>
      <w:marLeft w:val="0"/>
      <w:marRight w:val="0"/>
      <w:marTop w:val="0"/>
      <w:marBottom w:val="0"/>
      <w:divBdr>
        <w:top w:val="none" w:sz="0" w:space="0" w:color="auto"/>
        <w:left w:val="none" w:sz="0" w:space="0" w:color="auto"/>
        <w:bottom w:val="none" w:sz="0" w:space="0" w:color="auto"/>
        <w:right w:val="none" w:sz="0" w:space="0" w:color="auto"/>
      </w:divBdr>
    </w:div>
    <w:div w:id="1471481296">
      <w:bodyDiv w:val="1"/>
      <w:marLeft w:val="0"/>
      <w:marRight w:val="0"/>
      <w:marTop w:val="0"/>
      <w:marBottom w:val="0"/>
      <w:divBdr>
        <w:top w:val="none" w:sz="0" w:space="0" w:color="auto"/>
        <w:left w:val="none" w:sz="0" w:space="0" w:color="auto"/>
        <w:bottom w:val="none" w:sz="0" w:space="0" w:color="auto"/>
        <w:right w:val="none" w:sz="0" w:space="0" w:color="auto"/>
      </w:divBdr>
    </w:div>
    <w:div w:id="1733191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UNISG">
  <a:themeElements>
    <a:clrScheme name="UNISG Grün">
      <a:dk1>
        <a:sysClr val="windowText" lastClr="000000"/>
      </a:dk1>
      <a:lt1>
        <a:sysClr val="window" lastClr="FFFFFF"/>
      </a:lt1>
      <a:dk2>
        <a:srgbClr val="115C2E"/>
      </a:dk2>
      <a:lt2>
        <a:srgbClr val="CCCCCC"/>
      </a:lt2>
      <a:accent1>
        <a:srgbClr val="115C2E"/>
      </a:accent1>
      <a:accent2>
        <a:srgbClr val="249662"/>
      </a:accent2>
      <a:accent3>
        <a:srgbClr val="54A47C"/>
      </a:accent3>
      <a:accent4>
        <a:srgbClr val="8FBFA9"/>
      </a:accent4>
      <a:accent5>
        <a:srgbClr val="ED904B"/>
      </a:accent5>
      <a:accent6>
        <a:srgbClr val="FAB73E"/>
      </a:accent6>
      <a:hlink>
        <a:srgbClr val="115C2E"/>
      </a:hlink>
      <a:folHlink>
        <a:srgbClr val="54A47C"/>
      </a:folHlink>
    </a:clrScheme>
    <a:fontScheme name="UNISG CD Arial-Palatino">
      <a:majorFont>
        <a:latin typeface="Arial"/>
        <a:ea typeface=""/>
        <a:cs typeface=""/>
      </a:majorFont>
      <a:minorFont>
        <a:latin typeface="Palatino Linotype"/>
        <a:ea typeface=""/>
        <a:cs typeface=""/>
      </a:minorFont>
    </a:fontScheme>
    <a:fmtScheme name="Galathea">
      <a:fillStyleLst>
        <a:solidFill>
          <a:schemeClr val="phClr"/>
        </a:solidFill>
        <a:solidFill>
          <a:schemeClr val="phClr">
            <a:tint val="50000"/>
          </a:schemeClr>
        </a:solidFill>
        <a:solidFill>
          <a:schemeClr val="phClr"/>
        </a:soli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outerShdw blurRad="38100" dist="30000" dir="5400000" rotWithShape="0">
              <a:srgbClr val="000000">
                <a:alpha val="45000"/>
              </a:srgbClr>
            </a:outerShdw>
          </a:effectLst>
        </a:effectStyle>
        <a:effectStyle>
          <a:effectLst>
            <a:outerShdw blurRad="38100" dist="30000" dir="5400000" rotWithShape="0">
              <a:srgbClr val="000000">
                <a:alpha val="45000"/>
              </a:srgbClr>
            </a:outerShdw>
          </a:effectLst>
        </a:effectStyle>
        <a:effectStyle>
          <a:effectLst>
            <a:outerShdw blurRad="38100" dist="25400" dir="5400000" rotWithShape="0">
              <a:srgbClr val="000000">
                <a:alpha val="35000"/>
              </a:srgbClr>
            </a:outerShdw>
          </a:effectLst>
          <a:scene3d>
            <a:camera prst="isometricTopDown" fov="0">
              <a:rot lat="0" lon="0" rev="0"/>
            </a:camera>
            <a:lightRig rig="balanced" dir="t">
              <a:rot lat="0" lon="0" rev="13800000"/>
            </a:lightRig>
          </a:scene3d>
          <a:sp3d extrusionH="12700" prstMaterial="plastic">
            <a:bevelT w="38100" h="25400" prst="softRound"/>
            <a:contourClr>
              <a:schemeClr val="ph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4FAD4-3152-4089-8541-BC169F996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10138</Words>
  <Characters>59815</Characters>
  <Application>Microsoft Office Word</Application>
  <DocSecurity>0</DocSecurity>
  <Lines>498</Lines>
  <Paragraphs>139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Universität St. Gallen</Company>
  <LinksUpToDate>false</LinksUpToDate>
  <CharactersWithSpaces>69814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TTruetsch</dc:creator>
  <cp:lastModifiedBy>Admin</cp:lastModifiedBy>
  <cp:revision>7</cp:revision>
  <cp:lastPrinted>2014-12-14T14:17:00Z</cp:lastPrinted>
  <dcterms:created xsi:type="dcterms:W3CDTF">2014-12-04T18:37:00Z</dcterms:created>
  <dcterms:modified xsi:type="dcterms:W3CDTF">2014-12-20T07:18:00Z</dcterms:modified>
</cp:coreProperties>
</file>